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6729" w14:textId="2AFF0CB2"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6C87FBB4"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487633">
        <w:rPr>
          <w:rFonts w:ascii="Arial" w:eastAsia="Arial" w:hAnsi="Arial" w:cs="Arial"/>
          <w:spacing w:val="1"/>
          <w:sz w:val="23"/>
          <w:szCs w:val="23"/>
        </w:rPr>
        <w:t>83</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2CC85AE1"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487633">
        <w:rPr>
          <w:rFonts w:ascii="Arial" w:eastAsia="Arial" w:hAnsi="Arial" w:cs="Arial"/>
          <w:bCs/>
          <w:sz w:val="23"/>
          <w:szCs w:val="23"/>
        </w:rPr>
        <w:t>David Alejandro Macías González.</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74C99859"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w:t>
      </w:r>
      <w:r w:rsidR="006510DB">
        <w:rPr>
          <w:rFonts w:ascii="Arial" w:eastAsia="Arial" w:hAnsi="Arial" w:cs="Arial"/>
          <w:b/>
          <w:spacing w:val="-5"/>
          <w:sz w:val="23"/>
          <w:szCs w:val="23"/>
        </w:rPr>
        <w:t>D</w:t>
      </w:r>
      <w:r w:rsidR="00487633">
        <w:rPr>
          <w:rFonts w:ascii="Arial" w:eastAsia="Arial" w:hAnsi="Arial" w:cs="Arial"/>
          <w:b/>
          <w:spacing w:val="-5"/>
          <w:sz w:val="23"/>
          <w:szCs w:val="23"/>
        </w:rPr>
        <w:t>O</w:t>
      </w:r>
      <w:r w:rsidR="006510DB">
        <w:rPr>
          <w:rFonts w:ascii="Arial" w:eastAsia="Arial" w:hAnsi="Arial" w:cs="Arial"/>
          <w:b/>
          <w:spacing w:val="-5"/>
          <w:sz w:val="23"/>
          <w:szCs w:val="23"/>
        </w:rPr>
        <w:t xml:space="preserve">: </w:t>
      </w:r>
      <w:r w:rsidR="00487633">
        <w:rPr>
          <w:rFonts w:ascii="Arial" w:eastAsia="Arial" w:hAnsi="Arial" w:cs="Arial"/>
          <w:bCs/>
          <w:spacing w:val="-5"/>
          <w:sz w:val="23"/>
          <w:szCs w:val="23"/>
        </w:rPr>
        <w:t>Francisco Javier Rivera Luevano</w:t>
      </w:r>
      <w:r w:rsidR="00293798" w:rsidRPr="006510DB">
        <w:rPr>
          <w:rFonts w:ascii="Arial" w:eastAsia="Arial" w:hAnsi="Arial" w:cs="Arial"/>
          <w:bCs/>
          <w:sz w:val="23"/>
          <w:szCs w:val="23"/>
        </w:rPr>
        <w:t>.</w:t>
      </w:r>
    </w:p>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0E6E3A84"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w:t>
      </w:r>
      <w:r w:rsidR="003712C7">
        <w:rPr>
          <w:rFonts w:ascii="Arial" w:eastAsia="Arial" w:hAnsi="Arial" w:cs="Arial"/>
          <w:sz w:val="23"/>
          <w:szCs w:val="23"/>
        </w:rPr>
        <w:t>á</w:t>
      </w:r>
      <w:r w:rsidR="005E25E0">
        <w:rPr>
          <w:rFonts w:ascii="Arial" w:eastAsia="Arial" w:hAnsi="Arial" w:cs="Arial"/>
          <w:sz w:val="23"/>
          <w:szCs w:val="23"/>
        </w:rPr>
        <w:t xml:space="preserve">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48B260C4" w:rsidR="006C5C18" w:rsidRPr="005833FF" w:rsidRDefault="00E306E7" w:rsidP="00BB7F8E">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3712C7">
        <w:rPr>
          <w:rFonts w:ascii="Arial" w:eastAsia="Arial" w:hAnsi="Arial" w:cs="Arial"/>
          <w:sz w:val="22"/>
          <w:szCs w:val="22"/>
        </w:rPr>
        <w:t>cinco</w:t>
      </w:r>
      <w:r w:rsidR="001E3B3D">
        <w:rPr>
          <w:rFonts w:ascii="Arial" w:eastAsia="Arial" w:hAnsi="Arial" w:cs="Arial"/>
          <w:sz w:val="22"/>
          <w:szCs w:val="22"/>
        </w:rPr>
        <w:t xml:space="preserve"> de julio </w:t>
      </w:r>
      <w:r w:rsidRPr="005833FF">
        <w:rPr>
          <w:rFonts w:ascii="Arial" w:eastAsia="Arial Nova" w:hAnsi="Arial" w:cs="Arial"/>
          <w:sz w:val="22"/>
          <w:szCs w:val="22"/>
        </w:rPr>
        <w:t>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105639B4" w14:textId="6648EEF2" w:rsidR="00A5213C" w:rsidRPr="005833FF" w:rsidRDefault="00A5213C" w:rsidP="00A5213C">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Sentencia</w:t>
      </w:r>
      <w:r w:rsidR="00917368" w:rsidRPr="00917368">
        <w:rPr>
          <w:rFonts w:ascii="Arial" w:eastAsia="Arial Nova" w:hAnsi="Arial" w:cs="Arial"/>
          <w:bCs/>
          <w:sz w:val="22"/>
          <w:szCs w:val="22"/>
        </w:rPr>
        <w:t xml:space="preserve"> </w:t>
      </w:r>
      <w:r w:rsidR="00991B72">
        <w:rPr>
          <w:rFonts w:ascii="Arial" w:eastAsia="Arial Nova" w:hAnsi="Arial" w:cs="Arial"/>
          <w:bCs/>
          <w:sz w:val="22"/>
          <w:szCs w:val="22"/>
        </w:rPr>
        <w:t xml:space="preserve">mediante la que se </w:t>
      </w:r>
      <w:r w:rsidR="00917368" w:rsidRPr="00917368">
        <w:rPr>
          <w:rFonts w:ascii="Arial" w:eastAsia="Arial Nova" w:hAnsi="Arial" w:cs="Arial"/>
          <w:bCs/>
          <w:sz w:val="22"/>
          <w:szCs w:val="22"/>
        </w:rPr>
        <w:t xml:space="preserve">determina la </w:t>
      </w:r>
      <w:r w:rsidR="00A85EED">
        <w:rPr>
          <w:rFonts w:ascii="Arial" w:eastAsia="Arial Nova" w:hAnsi="Arial" w:cs="Arial"/>
          <w:bCs/>
          <w:sz w:val="22"/>
          <w:szCs w:val="22"/>
        </w:rPr>
        <w:t xml:space="preserve">inexistencia de la infracción denunciada, relativa a </w:t>
      </w:r>
      <w:r w:rsidR="00991B72">
        <w:rPr>
          <w:rFonts w:ascii="Arial" w:eastAsia="Arial Nova" w:hAnsi="Arial" w:cs="Arial"/>
          <w:bCs/>
          <w:sz w:val="22"/>
          <w:szCs w:val="22"/>
        </w:rPr>
        <w:t xml:space="preserve">la colocación de propaganda electoral en periodo de veda, atribuible a Francisco Javier Rivera Luevano, entonces candidato a Presidente Municipal de </w:t>
      </w:r>
      <w:r w:rsidR="001E3B3D">
        <w:rPr>
          <w:rFonts w:ascii="Arial" w:eastAsia="Arial Nova" w:hAnsi="Arial" w:cs="Arial"/>
          <w:bCs/>
          <w:sz w:val="22"/>
          <w:szCs w:val="22"/>
        </w:rPr>
        <w:t>R</w:t>
      </w:r>
      <w:r w:rsidR="00991B72">
        <w:rPr>
          <w:rFonts w:ascii="Arial" w:eastAsia="Arial Nova" w:hAnsi="Arial" w:cs="Arial"/>
          <w:bCs/>
          <w:sz w:val="22"/>
          <w:szCs w:val="22"/>
        </w:rPr>
        <w:t>incón de Romos, Aguascalientes.</w:t>
      </w:r>
    </w:p>
    <w:p w14:paraId="464B588B" w14:textId="77777777" w:rsidR="00A5213C" w:rsidRPr="005833FF" w:rsidRDefault="00A5213C">
      <w:pPr>
        <w:spacing w:line="360" w:lineRule="auto"/>
        <w:ind w:right="36"/>
        <w:jc w:val="both"/>
        <w:rPr>
          <w:rFonts w:ascii="Arial" w:eastAsia="Arial Nova" w:hAnsi="Arial" w:cs="Arial"/>
          <w:bCs/>
          <w:sz w:val="22"/>
          <w:szCs w:val="22"/>
        </w:rPr>
      </w:pPr>
    </w:p>
    <w:p w14:paraId="4EC79973" w14:textId="47C02ADB" w:rsidR="007E6C40" w:rsidRPr="005833FF" w:rsidRDefault="007E6C40" w:rsidP="007E6C40">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3238FE68" w14:textId="77777777" w:rsidR="00904B5E" w:rsidRPr="005833FF" w:rsidRDefault="00904B5E" w:rsidP="00A8634A">
      <w:pPr>
        <w:spacing w:line="360" w:lineRule="auto"/>
        <w:ind w:right="36"/>
        <w:jc w:val="both"/>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7E6C40" w:rsidRPr="005833FF" w14:paraId="7D692034" w14:textId="77777777" w:rsidTr="00B55F05">
        <w:trPr>
          <w:trHeight w:val="191"/>
          <w:jc w:val="center"/>
        </w:trPr>
        <w:tc>
          <w:tcPr>
            <w:tcW w:w="2249" w:type="dxa"/>
          </w:tcPr>
          <w:p w14:paraId="564A0438" w14:textId="77777777" w:rsidR="007E6C40" w:rsidRPr="005833FF" w:rsidRDefault="007E6C40" w:rsidP="00A8634A">
            <w:pPr>
              <w:jc w:val="both"/>
              <w:rPr>
                <w:rFonts w:ascii="Arial" w:eastAsia="Arial" w:hAnsi="Arial" w:cs="Arial"/>
                <w:sz w:val="22"/>
                <w:szCs w:val="22"/>
              </w:rPr>
            </w:pPr>
            <w:r w:rsidRPr="005833FF">
              <w:rPr>
                <w:rFonts w:ascii="Arial" w:eastAsia="Arial" w:hAnsi="Arial" w:cs="Arial"/>
                <w:b/>
                <w:sz w:val="22"/>
                <w:szCs w:val="22"/>
              </w:rPr>
              <w:t>Denunciante:</w:t>
            </w:r>
          </w:p>
        </w:tc>
        <w:tc>
          <w:tcPr>
            <w:tcW w:w="5368" w:type="dxa"/>
          </w:tcPr>
          <w:p w14:paraId="7090C882" w14:textId="6342996D" w:rsidR="007E6C40" w:rsidRPr="005833FF" w:rsidRDefault="007E6C40" w:rsidP="00A8634A">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00487633">
              <w:rPr>
                <w:rFonts w:ascii="Arial" w:eastAsia="Arial" w:hAnsi="Arial" w:cs="Arial"/>
                <w:bCs/>
                <w:spacing w:val="4"/>
                <w:sz w:val="22"/>
                <w:szCs w:val="22"/>
              </w:rPr>
              <w:t>David Alejandro Macias González, en su calidad de representante suplente del Partido Acción Nacional ante el Consejo Local del Instituto Nacional Electoral en Aguascalientes</w:t>
            </w:r>
            <w:r w:rsidR="006510DB">
              <w:rPr>
                <w:rFonts w:ascii="Arial" w:eastAsia="Arial" w:hAnsi="Arial" w:cs="Arial"/>
                <w:bCs/>
                <w:spacing w:val="4"/>
                <w:sz w:val="22"/>
                <w:szCs w:val="22"/>
              </w:rPr>
              <w:t>.</w:t>
            </w:r>
          </w:p>
        </w:tc>
      </w:tr>
      <w:tr w:rsidR="007E6C40" w:rsidRPr="005833FF" w14:paraId="3AC443E7" w14:textId="77777777" w:rsidTr="00B55F05">
        <w:trPr>
          <w:trHeight w:val="191"/>
          <w:jc w:val="center"/>
        </w:trPr>
        <w:tc>
          <w:tcPr>
            <w:tcW w:w="2249" w:type="dxa"/>
          </w:tcPr>
          <w:p w14:paraId="45056A32" w14:textId="77777777" w:rsidR="007E6C40" w:rsidRPr="005833FF" w:rsidRDefault="007E6C40" w:rsidP="00A8634A">
            <w:pPr>
              <w:jc w:val="both"/>
              <w:rPr>
                <w:rFonts w:ascii="Arial" w:eastAsia="Arial" w:hAnsi="Arial" w:cs="Arial"/>
                <w:sz w:val="22"/>
                <w:szCs w:val="22"/>
              </w:rPr>
            </w:pPr>
          </w:p>
        </w:tc>
        <w:tc>
          <w:tcPr>
            <w:tcW w:w="5368" w:type="dxa"/>
          </w:tcPr>
          <w:p w14:paraId="7BC7CB04" w14:textId="77777777" w:rsidR="007E6C40" w:rsidRPr="005833FF" w:rsidRDefault="007E6C40" w:rsidP="00A8634A">
            <w:pPr>
              <w:ind w:right="36"/>
              <w:jc w:val="both"/>
              <w:rPr>
                <w:rFonts w:ascii="Arial" w:eastAsia="Arial" w:hAnsi="Arial" w:cs="Arial"/>
                <w:sz w:val="22"/>
                <w:szCs w:val="22"/>
              </w:rPr>
            </w:pPr>
          </w:p>
        </w:tc>
      </w:tr>
      <w:tr w:rsidR="007E6C40" w:rsidRPr="005833FF" w14:paraId="1DDBDF0D" w14:textId="77777777" w:rsidTr="00B55F05">
        <w:trPr>
          <w:trHeight w:val="393"/>
          <w:jc w:val="center"/>
        </w:trPr>
        <w:tc>
          <w:tcPr>
            <w:tcW w:w="2249" w:type="dxa"/>
          </w:tcPr>
          <w:p w14:paraId="0E9D7591" w14:textId="0ED9215B" w:rsidR="007F27E9" w:rsidRDefault="007E6C40" w:rsidP="00A8634A">
            <w:pPr>
              <w:jc w:val="both"/>
              <w:rPr>
                <w:rFonts w:ascii="Arial" w:eastAsia="Arial" w:hAnsi="Arial" w:cs="Arial"/>
                <w:b/>
                <w:bCs/>
                <w:sz w:val="22"/>
                <w:szCs w:val="22"/>
              </w:rPr>
            </w:pPr>
            <w:r w:rsidRPr="005833FF">
              <w:rPr>
                <w:rFonts w:ascii="Arial" w:eastAsia="Arial" w:hAnsi="Arial" w:cs="Arial"/>
                <w:b/>
                <w:bCs/>
                <w:sz w:val="22"/>
                <w:szCs w:val="22"/>
              </w:rPr>
              <w:t>Denunciad</w:t>
            </w:r>
            <w:r w:rsidR="00487633">
              <w:rPr>
                <w:rFonts w:ascii="Arial" w:eastAsia="Arial" w:hAnsi="Arial" w:cs="Arial"/>
                <w:b/>
                <w:bCs/>
                <w:sz w:val="22"/>
                <w:szCs w:val="22"/>
              </w:rPr>
              <w:t>o</w:t>
            </w:r>
            <w:r w:rsidRPr="005833FF">
              <w:rPr>
                <w:rFonts w:ascii="Arial" w:eastAsia="Arial" w:hAnsi="Arial" w:cs="Arial"/>
                <w:b/>
                <w:bCs/>
                <w:sz w:val="22"/>
                <w:szCs w:val="22"/>
              </w:rPr>
              <w:t>:</w:t>
            </w:r>
          </w:p>
          <w:p w14:paraId="3668A68C" w14:textId="77777777" w:rsidR="00A5213C" w:rsidRDefault="00A5213C" w:rsidP="00A8634A">
            <w:pPr>
              <w:jc w:val="both"/>
              <w:rPr>
                <w:rFonts w:ascii="Arial" w:eastAsia="Arial" w:hAnsi="Arial" w:cs="Arial"/>
                <w:b/>
                <w:bCs/>
                <w:sz w:val="22"/>
                <w:szCs w:val="22"/>
              </w:rPr>
            </w:pPr>
          </w:p>
          <w:p w14:paraId="4FD8C7C0" w14:textId="77777777" w:rsidR="006510DB" w:rsidRDefault="006510DB" w:rsidP="00A8634A">
            <w:pPr>
              <w:jc w:val="both"/>
              <w:rPr>
                <w:rFonts w:ascii="Arial" w:eastAsia="Arial" w:hAnsi="Arial" w:cs="Arial"/>
                <w:b/>
                <w:bCs/>
                <w:sz w:val="22"/>
                <w:szCs w:val="22"/>
              </w:rPr>
            </w:pPr>
          </w:p>
          <w:p w14:paraId="5EE6D2E7" w14:textId="77777777" w:rsidR="006510DB" w:rsidRDefault="006510DB" w:rsidP="00A8634A">
            <w:pPr>
              <w:jc w:val="both"/>
              <w:rPr>
                <w:rFonts w:ascii="Arial" w:eastAsia="Arial" w:hAnsi="Arial" w:cs="Arial"/>
                <w:b/>
                <w:bCs/>
                <w:sz w:val="22"/>
                <w:szCs w:val="22"/>
              </w:rPr>
            </w:pPr>
          </w:p>
          <w:p w14:paraId="166DBAAE" w14:textId="7F01207E" w:rsidR="006510DB" w:rsidRPr="005833FF" w:rsidRDefault="00487633" w:rsidP="00A8634A">
            <w:pPr>
              <w:jc w:val="both"/>
              <w:rPr>
                <w:rFonts w:ascii="Arial" w:eastAsia="Arial" w:hAnsi="Arial" w:cs="Arial"/>
                <w:b/>
                <w:bCs/>
                <w:sz w:val="22"/>
                <w:szCs w:val="22"/>
              </w:rPr>
            </w:pPr>
            <w:r>
              <w:rPr>
                <w:rFonts w:ascii="Arial" w:eastAsia="Arial" w:hAnsi="Arial" w:cs="Arial"/>
                <w:b/>
                <w:bCs/>
                <w:sz w:val="22"/>
                <w:szCs w:val="22"/>
              </w:rPr>
              <w:t>INE</w:t>
            </w:r>
            <w:r w:rsidR="006510DB">
              <w:rPr>
                <w:rFonts w:ascii="Arial" w:eastAsia="Arial" w:hAnsi="Arial" w:cs="Arial"/>
                <w:b/>
                <w:bCs/>
                <w:sz w:val="22"/>
                <w:szCs w:val="22"/>
              </w:rPr>
              <w:t>:</w:t>
            </w:r>
          </w:p>
        </w:tc>
        <w:tc>
          <w:tcPr>
            <w:tcW w:w="5368" w:type="dxa"/>
          </w:tcPr>
          <w:p w14:paraId="3674E48C" w14:textId="27A2D75D" w:rsidR="007F27E9" w:rsidRDefault="00487633" w:rsidP="00A8634A">
            <w:pPr>
              <w:tabs>
                <w:tab w:val="left" w:pos="9923"/>
              </w:tabs>
              <w:jc w:val="both"/>
              <w:rPr>
                <w:rFonts w:ascii="Arial" w:eastAsia="Arial" w:hAnsi="Arial" w:cs="Arial"/>
                <w:spacing w:val="1"/>
                <w:sz w:val="22"/>
                <w:szCs w:val="22"/>
              </w:rPr>
            </w:pPr>
            <w:r>
              <w:rPr>
                <w:rFonts w:ascii="Arial" w:eastAsia="Arial" w:hAnsi="Arial" w:cs="Arial"/>
                <w:spacing w:val="1"/>
                <w:sz w:val="22"/>
                <w:szCs w:val="22"/>
              </w:rPr>
              <w:t xml:space="preserve">C. Francisco Javier Rivera Luevano, en su carácter de </w:t>
            </w:r>
            <w:r w:rsidR="004A64C5">
              <w:rPr>
                <w:rFonts w:ascii="Arial" w:eastAsia="Arial" w:hAnsi="Arial" w:cs="Arial"/>
                <w:spacing w:val="1"/>
                <w:sz w:val="22"/>
                <w:szCs w:val="22"/>
              </w:rPr>
              <w:t xml:space="preserve">otrora candidato a </w:t>
            </w:r>
            <w:r>
              <w:rPr>
                <w:rFonts w:ascii="Arial" w:eastAsia="Arial" w:hAnsi="Arial" w:cs="Arial"/>
                <w:spacing w:val="1"/>
                <w:sz w:val="22"/>
                <w:szCs w:val="22"/>
              </w:rPr>
              <w:t>Presidente Municipal de Rincón de Romos, Aguascalientes</w:t>
            </w:r>
          </w:p>
          <w:p w14:paraId="172E9D5A" w14:textId="72573246" w:rsidR="006510DB" w:rsidRDefault="006510DB" w:rsidP="00A8634A">
            <w:pPr>
              <w:tabs>
                <w:tab w:val="left" w:pos="9923"/>
              </w:tabs>
              <w:jc w:val="both"/>
              <w:rPr>
                <w:rFonts w:ascii="Arial" w:eastAsia="Arial" w:hAnsi="Arial" w:cs="Arial"/>
                <w:spacing w:val="1"/>
                <w:sz w:val="22"/>
                <w:szCs w:val="22"/>
              </w:rPr>
            </w:pPr>
          </w:p>
          <w:p w14:paraId="1630AA8F" w14:textId="15406E46" w:rsidR="006510DB" w:rsidRDefault="00487633" w:rsidP="00A8634A">
            <w:pPr>
              <w:tabs>
                <w:tab w:val="left" w:pos="9923"/>
              </w:tabs>
              <w:jc w:val="both"/>
              <w:rPr>
                <w:rFonts w:ascii="Arial" w:eastAsia="Arial" w:hAnsi="Arial" w:cs="Arial"/>
                <w:spacing w:val="1"/>
                <w:sz w:val="22"/>
                <w:szCs w:val="22"/>
              </w:rPr>
            </w:pPr>
            <w:r>
              <w:rPr>
                <w:rFonts w:ascii="Arial" w:eastAsia="Arial" w:hAnsi="Arial" w:cs="Arial"/>
                <w:spacing w:val="1"/>
                <w:sz w:val="22"/>
                <w:szCs w:val="22"/>
              </w:rPr>
              <w:t>Instituto Nacional Electoral</w:t>
            </w:r>
            <w:r w:rsidR="006510DB">
              <w:rPr>
                <w:rFonts w:ascii="Arial" w:eastAsia="Arial" w:hAnsi="Arial" w:cs="Arial"/>
                <w:spacing w:val="1"/>
                <w:sz w:val="22"/>
                <w:szCs w:val="22"/>
              </w:rPr>
              <w:t>.</w:t>
            </w:r>
          </w:p>
          <w:p w14:paraId="1EB84280" w14:textId="77777777" w:rsidR="007E6C40" w:rsidRPr="005833FF" w:rsidRDefault="007E6C40" w:rsidP="00A8634A">
            <w:pPr>
              <w:tabs>
                <w:tab w:val="left" w:pos="9923"/>
              </w:tabs>
              <w:jc w:val="both"/>
              <w:rPr>
                <w:rFonts w:ascii="Arial" w:eastAsia="Arial" w:hAnsi="Arial" w:cs="Arial"/>
                <w:sz w:val="22"/>
                <w:szCs w:val="22"/>
              </w:rPr>
            </w:pPr>
          </w:p>
        </w:tc>
      </w:tr>
      <w:tr w:rsidR="007E6C40" w:rsidRPr="005833FF" w14:paraId="7256F9ED" w14:textId="77777777" w:rsidTr="00B55F05">
        <w:trPr>
          <w:trHeight w:val="2706"/>
          <w:jc w:val="center"/>
        </w:trPr>
        <w:tc>
          <w:tcPr>
            <w:tcW w:w="2249" w:type="dxa"/>
          </w:tcPr>
          <w:p w14:paraId="226B2A6A" w14:textId="05F7CE33" w:rsidR="007E6C40" w:rsidRPr="005833FF" w:rsidRDefault="00CC2821" w:rsidP="00A8634A">
            <w:pPr>
              <w:jc w:val="both"/>
              <w:rPr>
                <w:rFonts w:ascii="Arial" w:eastAsia="Arial" w:hAnsi="Arial" w:cs="Arial"/>
                <w:b/>
                <w:sz w:val="22"/>
                <w:szCs w:val="22"/>
              </w:rPr>
            </w:pPr>
            <w:r>
              <w:rPr>
                <w:rFonts w:ascii="Arial" w:eastAsia="Arial" w:hAnsi="Arial" w:cs="Arial"/>
                <w:b/>
                <w:sz w:val="22"/>
                <w:szCs w:val="22"/>
              </w:rPr>
              <w:t>I</w:t>
            </w:r>
            <w:r w:rsidR="007E6C40" w:rsidRPr="005833FF">
              <w:rPr>
                <w:rFonts w:ascii="Arial" w:eastAsia="Arial" w:hAnsi="Arial" w:cs="Arial"/>
                <w:b/>
                <w:sz w:val="22"/>
                <w:szCs w:val="22"/>
              </w:rPr>
              <w:t>EE:</w:t>
            </w:r>
          </w:p>
          <w:p w14:paraId="218BE149" w14:textId="77777777" w:rsidR="00C220CC" w:rsidRDefault="00C220CC" w:rsidP="00A8634A">
            <w:pPr>
              <w:jc w:val="both"/>
              <w:rPr>
                <w:rFonts w:ascii="Arial" w:eastAsia="Arial" w:hAnsi="Arial" w:cs="Arial"/>
                <w:b/>
                <w:sz w:val="22"/>
                <w:szCs w:val="22"/>
              </w:rPr>
            </w:pPr>
          </w:p>
          <w:p w14:paraId="7699AB2D" w14:textId="2F927B2B" w:rsidR="003D176B" w:rsidRPr="005833FF" w:rsidRDefault="003D176B" w:rsidP="00A8634A">
            <w:pPr>
              <w:jc w:val="both"/>
              <w:rPr>
                <w:rFonts w:ascii="Arial" w:eastAsia="Arial" w:hAnsi="Arial" w:cs="Arial"/>
                <w:b/>
                <w:sz w:val="22"/>
                <w:szCs w:val="22"/>
              </w:rPr>
            </w:pPr>
            <w:r w:rsidRPr="005833FF">
              <w:rPr>
                <w:rFonts w:ascii="Arial" w:eastAsia="Arial" w:hAnsi="Arial" w:cs="Arial"/>
                <w:b/>
                <w:sz w:val="22"/>
                <w:szCs w:val="22"/>
              </w:rPr>
              <w:t>Secretario Ejecutivo:</w:t>
            </w:r>
          </w:p>
          <w:p w14:paraId="04D5CE14" w14:textId="77777777" w:rsidR="003D176B" w:rsidRPr="005833FF" w:rsidRDefault="003D176B" w:rsidP="00A8634A">
            <w:pPr>
              <w:jc w:val="both"/>
              <w:rPr>
                <w:rFonts w:ascii="Arial" w:eastAsia="Arial" w:hAnsi="Arial" w:cs="Arial"/>
                <w:b/>
                <w:sz w:val="22"/>
                <w:szCs w:val="22"/>
              </w:rPr>
            </w:pPr>
          </w:p>
          <w:p w14:paraId="1708B231" w14:textId="3FDE1EF4" w:rsidR="003D176B" w:rsidRPr="005833FF" w:rsidRDefault="003D176B" w:rsidP="00A8634A">
            <w:pPr>
              <w:jc w:val="both"/>
              <w:rPr>
                <w:rFonts w:ascii="Arial" w:eastAsia="Arial" w:hAnsi="Arial" w:cs="Arial"/>
                <w:sz w:val="22"/>
                <w:szCs w:val="22"/>
              </w:rPr>
            </w:pPr>
            <w:r w:rsidRPr="005833FF">
              <w:rPr>
                <w:rFonts w:ascii="Arial" w:eastAsia="Arial" w:hAnsi="Arial" w:cs="Arial"/>
                <w:b/>
                <w:sz w:val="22"/>
                <w:szCs w:val="22"/>
              </w:rPr>
              <w:t>Tribunal Electoral:</w:t>
            </w:r>
          </w:p>
        </w:tc>
        <w:tc>
          <w:tcPr>
            <w:tcW w:w="5368" w:type="dxa"/>
          </w:tcPr>
          <w:p w14:paraId="09676A58" w14:textId="77777777" w:rsidR="007E6C40" w:rsidRPr="005833FF" w:rsidRDefault="007E6C40" w:rsidP="00A8634A">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1E802302" w14:textId="77777777" w:rsidR="003D176B" w:rsidRPr="005833FF" w:rsidRDefault="003D176B" w:rsidP="00A8634A">
            <w:pPr>
              <w:ind w:right="178"/>
              <w:jc w:val="both"/>
              <w:rPr>
                <w:rFonts w:ascii="Arial" w:eastAsia="Arial" w:hAnsi="Arial" w:cs="Arial"/>
                <w:sz w:val="22"/>
                <w:szCs w:val="22"/>
              </w:rPr>
            </w:pPr>
          </w:p>
          <w:p w14:paraId="34CBC990" w14:textId="25783569" w:rsidR="003D176B" w:rsidRPr="005833FF" w:rsidRDefault="003D176B" w:rsidP="00A8634A">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FA5D26B" w14:textId="6785FB1B" w:rsidR="003D176B" w:rsidRPr="005833FF" w:rsidRDefault="003D176B" w:rsidP="00A8634A">
            <w:pPr>
              <w:ind w:right="178"/>
              <w:jc w:val="both"/>
              <w:rPr>
                <w:rFonts w:ascii="Arial" w:eastAsia="Arial" w:hAnsi="Arial" w:cs="Arial"/>
                <w:sz w:val="22"/>
                <w:szCs w:val="22"/>
              </w:rPr>
            </w:pPr>
          </w:p>
          <w:p w14:paraId="6CE43227" w14:textId="77777777" w:rsidR="003D176B" w:rsidRPr="005833FF" w:rsidRDefault="003D176B" w:rsidP="00A8634A">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19FF2968" w14:textId="77777777" w:rsidR="003D176B" w:rsidRPr="005833FF" w:rsidRDefault="003D176B" w:rsidP="00A8634A">
            <w:pPr>
              <w:ind w:right="178"/>
              <w:jc w:val="both"/>
              <w:rPr>
                <w:rFonts w:ascii="Arial" w:eastAsia="Arial" w:hAnsi="Arial" w:cs="Arial"/>
                <w:sz w:val="22"/>
                <w:szCs w:val="22"/>
              </w:rPr>
            </w:pPr>
          </w:p>
          <w:p w14:paraId="3D9AAFCC" w14:textId="5F6771A8" w:rsidR="003D176B" w:rsidRPr="005833FF" w:rsidRDefault="003D176B" w:rsidP="00A8634A">
            <w:pPr>
              <w:ind w:right="178"/>
              <w:jc w:val="both"/>
              <w:rPr>
                <w:rFonts w:ascii="Arial" w:eastAsia="Arial" w:hAnsi="Arial" w:cs="Arial"/>
                <w:sz w:val="22"/>
                <w:szCs w:val="22"/>
              </w:rPr>
            </w:pPr>
          </w:p>
        </w:tc>
      </w:tr>
    </w:tbl>
    <w:p w14:paraId="71234784" w14:textId="169BCDA8" w:rsidR="003D56A4" w:rsidRPr="008114D0" w:rsidRDefault="00E306E7" w:rsidP="00361D36">
      <w:pPr>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    </w:t>
      </w:r>
      <w:r w:rsidR="00655FEF" w:rsidRPr="008114D0">
        <w:rPr>
          <w:rFonts w:ascii="Arial" w:eastAsia="Arial Nova" w:hAnsi="Arial" w:cs="Arial"/>
          <w:b/>
          <w:sz w:val="22"/>
          <w:szCs w:val="22"/>
        </w:rPr>
        <w:t xml:space="preserve">1. </w:t>
      </w:r>
      <w:r w:rsidR="003D56A4" w:rsidRPr="008114D0">
        <w:rPr>
          <w:rFonts w:ascii="Arial" w:eastAsia="Arial Nova" w:hAnsi="Arial" w:cs="Arial"/>
          <w:b/>
          <w:sz w:val="22"/>
          <w:szCs w:val="22"/>
        </w:rPr>
        <w:t>ANTECEDENTES</w:t>
      </w:r>
    </w:p>
    <w:p w14:paraId="69A5CC24" w14:textId="189583AE" w:rsidR="00CE340B" w:rsidRPr="008114D0"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92E72E8" w14:textId="77777777" w:rsidR="00CE340B" w:rsidRPr="008114D0" w:rsidRDefault="00CE340B" w:rsidP="00CE340B">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60C07FC2" w14:textId="53F21276" w:rsidR="009B77BD" w:rsidRPr="008114D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29F55760"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8114D0">
        <w:rPr>
          <w:rFonts w:ascii="Arial" w:eastAsia="Arial Nova" w:hAnsi="Arial" w:cs="Arial"/>
          <w:b/>
          <w:sz w:val="22"/>
          <w:szCs w:val="22"/>
        </w:rPr>
        <w:t>1.1.</w:t>
      </w:r>
      <w:r w:rsidR="00CF0B42" w:rsidRPr="008114D0">
        <w:rPr>
          <w:rFonts w:ascii="Arial" w:eastAsia="Arial Nova" w:hAnsi="Arial" w:cs="Arial"/>
          <w:b/>
          <w:sz w:val="22"/>
          <w:szCs w:val="22"/>
        </w:rPr>
        <w:t xml:space="preserve"> </w:t>
      </w:r>
      <w:r w:rsidR="002D69C6" w:rsidRPr="008114D0">
        <w:rPr>
          <w:rFonts w:ascii="Arial" w:eastAsia="Arial Nova" w:hAnsi="Arial" w:cs="Arial"/>
          <w:b/>
          <w:sz w:val="22"/>
          <w:szCs w:val="22"/>
        </w:rPr>
        <w:t xml:space="preserve">Proceso Electoral. </w:t>
      </w:r>
      <w:r w:rsidR="002D69C6" w:rsidRPr="008114D0">
        <w:rPr>
          <w:rFonts w:ascii="Arial" w:eastAsia="Arial Nova" w:hAnsi="Arial" w:cs="Arial"/>
          <w:bCs/>
          <w:sz w:val="22"/>
          <w:szCs w:val="22"/>
        </w:rPr>
        <w:t xml:space="preserve">El tres de noviembre de dos mil veinte, dio inicio el proceso electoral concurrente ordinario </w:t>
      </w:r>
      <w:r w:rsidR="00481A2B" w:rsidRPr="008114D0">
        <w:rPr>
          <w:rFonts w:ascii="Arial" w:eastAsia="Arial Nova" w:hAnsi="Arial" w:cs="Arial"/>
          <w:bCs/>
          <w:sz w:val="22"/>
          <w:szCs w:val="22"/>
        </w:rPr>
        <w:t xml:space="preserve">2020-2021 </w:t>
      </w:r>
      <w:r w:rsidR="002D69C6" w:rsidRPr="008114D0">
        <w:rPr>
          <w:rFonts w:ascii="Arial" w:eastAsia="Arial Nova" w:hAnsi="Arial" w:cs="Arial"/>
          <w:bCs/>
          <w:sz w:val="22"/>
          <w:szCs w:val="22"/>
        </w:rPr>
        <w:t>para la renovación de los Ayuntamientos y Diputaciones del Estado de Aguascalientes</w:t>
      </w:r>
      <w:r w:rsidR="003D56A4" w:rsidRPr="008114D0">
        <w:rPr>
          <w:rFonts w:ascii="Arial" w:eastAsia="Arial Nova" w:hAnsi="Arial" w:cs="Arial"/>
          <w:bCs/>
          <w:sz w:val="22"/>
          <w:szCs w:val="22"/>
        </w:rPr>
        <w:t>.</w:t>
      </w:r>
      <w:r w:rsidR="003D56A4" w:rsidRPr="008114D0">
        <w:rPr>
          <w:rFonts w:ascii="Arial" w:eastAsia="Arial Nova" w:hAnsi="Arial" w:cs="Arial"/>
          <w:b/>
          <w:sz w:val="22"/>
          <w:szCs w:val="22"/>
        </w:rPr>
        <w:t xml:space="preserve"> </w:t>
      </w:r>
    </w:p>
    <w:p w14:paraId="5B573E26" w14:textId="73C602CE" w:rsidR="00487633" w:rsidRDefault="00487633"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lastRenderedPageBreak/>
        <w:t>1.</w:t>
      </w:r>
      <w:r w:rsidR="00E142E6">
        <w:rPr>
          <w:rFonts w:ascii="Arial" w:eastAsia="Arial Nova" w:hAnsi="Arial" w:cs="Arial"/>
          <w:b/>
          <w:sz w:val="22"/>
          <w:szCs w:val="22"/>
        </w:rPr>
        <w:t>2</w:t>
      </w:r>
      <w:r w:rsidRPr="008114D0">
        <w:rPr>
          <w:rFonts w:ascii="Arial" w:eastAsia="Arial Nova" w:hAnsi="Arial" w:cs="Arial"/>
          <w:b/>
          <w:sz w:val="22"/>
          <w:szCs w:val="22"/>
        </w:rPr>
        <w:t xml:space="preserve">. Presentación de la denuncia. </w:t>
      </w:r>
      <w:r w:rsidRPr="008114D0">
        <w:rPr>
          <w:rFonts w:ascii="Arial" w:eastAsia="Arial Nova" w:hAnsi="Arial" w:cs="Arial"/>
          <w:sz w:val="22"/>
          <w:szCs w:val="22"/>
        </w:rPr>
        <w:t xml:space="preserve">El </w:t>
      </w:r>
      <w:r>
        <w:rPr>
          <w:rFonts w:ascii="Arial" w:eastAsia="Arial Nova" w:hAnsi="Arial" w:cs="Arial"/>
          <w:sz w:val="22"/>
          <w:szCs w:val="22"/>
        </w:rPr>
        <w:t>seis de junio</w:t>
      </w:r>
      <w:r w:rsidRPr="008114D0">
        <w:rPr>
          <w:rFonts w:ascii="Arial" w:eastAsia="Arial Nova" w:hAnsi="Arial" w:cs="Arial"/>
          <w:sz w:val="22"/>
          <w:szCs w:val="22"/>
        </w:rPr>
        <w:t xml:space="preserve">, </w:t>
      </w:r>
      <w:r>
        <w:rPr>
          <w:rFonts w:ascii="Arial" w:eastAsia="Arial Nova" w:hAnsi="Arial" w:cs="Arial"/>
          <w:sz w:val="22"/>
          <w:szCs w:val="22"/>
        </w:rPr>
        <w:t>el</w:t>
      </w:r>
      <w:r w:rsidRPr="008114D0">
        <w:rPr>
          <w:rFonts w:ascii="Arial" w:eastAsia="Arial Nova" w:hAnsi="Arial" w:cs="Arial"/>
          <w:sz w:val="22"/>
          <w:szCs w:val="22"/>
        </w:rPr>
        <w:t xml:space="preserve"> </w:t>
      </w:r>
      <w:r w:rsidRPr="008114D0">
        <w:rPr>
          <w:rFonts w:ascii="Arial" w:eastAsia="Arial Nova" w:hAnsi="Arial" w:cs="Arial"/>
          <w:bCs/>
          <w:sz w:val="22"/>
          <w:szCs w:val="22"/>
        </w:rPr>
        <w:t>denunciante</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presentó un escrito de queja, por </w:t>
      </w:r>
      <w:r>
        <w:rPr>
          <w:rFonts w:ascii="Arial" w:eastAsia="Arial Nova" w:hAnsi="Arial" w:cs="Arial"/>
          <w:sz w:val="22"/>
          <w:szCs w:val="22"/>
        </w:rPr>
        <w:t>la fijación de un</w:t>
      </w:r>
      <w:r w:rsidR="008403C4">
        <w:rPr>
          <w:rFonts w:ascii="Arial" w:eastAsia="Arial Nova" w:hAnsi="Arial" w:cs="Arial"/>
          <w:sz w:val="22"/>
          <w:szCs w:val="22"/>
        </w:rPr>
        <w:t>a lona tipo</w:t>
      </w:r>
      <w:r>
        <w:rPr>
          <w:rFonts w:ascii="Arial" w:eastAsia="Arial Nova" w:hAnsi="Arial" w:cs="Arial"/>
          <w:sz w:val="22"/>
          <w:szCs w:val="22"/>
        </w:rPr>
        <w:t xml:space="preserve"> espectacular en el que se promociona </w:t>
      </w:r>
      <w:r w:rsidR="008403C4">
        <w:rPr>
          <w:rFonts w:ascii="Arial" w:eastAsia="Arial Nova" w:hAnsi="Arial" w:cs="Arial"/>
          <w:sz w:val="22"/>
          <w:szCs w:val="22"/>
        </w:rPr>
        <w:t>al denunciado</w:t>
      </w:r>
      <w:r>
        <w:rPr>
          <w:rFonts w:ascii="Arial" w:eastAsia="Arial Nova" w:hAnsi="Arial" w:cs="Arial"/>
          <w:sz w:val="22"/>
          <w:szCs w:val="22"/>
        </w:rPr>
        <w:t xml:space="preserve">, </w:t>
      </w:r>
      <w:r w:rsidR="008403C4">
        <w:rPr>
          <w:rFonts w:ascii="Arial" w:eastAsia="Arial Nova" w:hAnsi="Arial" w:cs="Arial"/>
          <w:sz w:val="22"/>
          <w:szCs w:val="22"/>
        </w:rPr>
        <w:t>porque a su dicho, la colocó</w:t>
      </w:r>
      <w:r>
        <w:rPr>
          <w:rFonts w:ascii="Arial" w:eastAsia="Arial Nova" w:hAnsi="Arial" w:cs="Arial"/>
          <w:sz w:val="22"/>
          <w:szCs w:val="22"/>
        </w:rPr>
        <w:t xml:space="preserve"> por la noche al terminar el periodo comprendido de </w:t>
      </w:r>
      <w:r w:rsidR="00E142E6">
        <w:rPr>
          <w:rFonts w:ascii="Arial" w:eastAsia="Arial Nova" w:hAnsi="Arial" w:cs="Arial"/>
          <w:sz w:val="22"/>
          <w:szCs w:val="22"/>
        </w:rPr>
        <w:t xml:space="preserve">los </w:t>
      </w:r>
      <w:r>
        <w:rPr>
          <w:rFonts w:ascii="Arial" w:eastAsia="Arial Nova" w:hAnsi="Arial" w:cs="Arial"/>
          <w:sz w:val="22"/>
          <w:szCs w:val="22"/>
        </w:rPr>
        <w:t>45 días de campaña</w:t>
      </w:r>
      <w:r w:rsidR="00E142E6">
        <w:rPr>
          <w:rFonts w:ascii="Arial" w:eastAsia="Arial Nova" w:hAnsi="Arial" w:cs="Arial"/>
          <w:sz w:val="22"/>
          <w:szCs w:val="22"/>
        </w:rPr>
        <w:t>.</w:t>
      </w:r>
    </w:p>
    <w:p w14:paraId="1C33301D" w14:textId="72C97DCE" w:rsidR="00E142E6" w:rsidRDefault="00E142E6"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6EC4DA9" w14:textId="1CBEA2B5" w:rsidR="00E142E6" w:rsidRDefault="00E142E6"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3</w:t>
      </w:r>
      <w:r w:rsidRPr="008114D0">
        <w:rPr>
          <w:rFonts w:ascii="Arial" w:eastAsia="Arial Nova" w:hAnsi="Arial" w:cs="Arial"/>
          <w:b/>
          <w:sz w:val="22"/>
          <w:szCs w:val="22"/>
        </w:rPr>
        <w:t xml:space="preserve">. </w:t>
      </w:r>
      <w:r>
        <w:rPr>
          <w:rFonts w:ascii="Arial" w:eastAsia="Arial Nova" w:hAnsi="Arial" w:cs="Arial"/>
          <w:b/>
          <w:sz w:val="22"/>
          <w:szCs w:val="22"/>
        </w:rPr>
        <w:t>Remisión de la queja</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quince de junio</w:t>
      </w:r>
      <w:r w:rsidRPr="008114D0">
        <w:rPr>
          <w:rFonts w:ascii="Arial" w:eastAsia="Arial Nova" w:hAnsi="Arial" w:cs="Arial"/>
          <w:sz w:val="22"/>
          <w:szCs w:val="22"/>
        </w:rPr>
        <w:t xml:space="preserve">, </w:t>
      </w:r>
      <w:r>
        <w:rPr>
          <w:rFonts w:ascii="Arial" w:eastAsia="Arial Nova" w:hAnsi="Arial" w:cs="Arial"/>
          <w:sz w:val="22"/>
          <w:szCs w:val="22"/>
        </w:rPr>
        <w:t>el Encargado de Despacho de la Dirección de Resoluciones y Normatividad de la Unidad Técnica de Fiscalización del INE, advirtió que los hechos denunciados correspondían a una infracción a la normativa que no era de su competencia, por lo que remitió la queja de mérito al IEE, a efecto de que eta determinara lo conducente.</w:t>
      </w:r>
    </w:p>
    <w:p w14:paraId="26A54445" w14:textId="26242734" w:rsidR="00E142E6" w:rsidRDefault="00E142E6"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AC431EC" w14:textId="3E84656F" w:rsidR="00E142E6" w:rsidRDefault="00E142E6" w:rsidP="00E142E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4</w:t>
      </w:r>
      <w:r w:rsidRPr="008114D0">
        <w:rPr>
          <w:rFonts w:ascii="Arial" w:eastAsia="Arial Nova" w:hAnsi="Arial" w:cs="Arial"/>
          <w:b/>
          <w:sz w:val="22"/>
          <w:szCs w:val="22"/>
        </w:rPr>
        <w:t xml:space="preserve">. Radicación y </w:t>
      </w:r>
      <w:r>
        <w:rPr>
          <w:rFonts w:ascii="Arial" w:eastAsia="Arial Nova" w:hAnsi="Arial" w:cs="Arial"/>
          <w:b/>
          <w:sz w:val="22"/>
          <w:szCs w:val="22"/>
        </w:rPr>
        <w:t>diligencias</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dieciséis de junio</w:t>
      </w:r>
      <w:r w:rsidRPr="008114D0">
        <w:rPr>
          <w:rFonts w:ascii="Arial" w:eastAsia="Arial Nova" w:hAnsi="Arial" w:cs="Arial"/>
          <w:sz w:val="22"/>
          <w:szCs w:val="22"/>
        </w:rPr>
        <w:t xml:space="preserve">, el Secretario Ejecutivo radicó la denuncia de mérito bajo la vía del </w:t>
      </w:r>
      <w:r>
        <w:rPr>
          <w:rFonts w:ascii="Arial" w:eastAsia="Arial Nova" w:hAnsi="Arial" w:cs="Arial"/>
          <w:sz w:val="22"/>
          <w:szCs w:val="22"/>
        </w:rPr>
        <w:t>P</w:t>
      </w:r>
      <w:r w:rsidRPr="008114D0">
        <w:rPr>
          <w:rFonts w:ascii="Arial" w:eastAsia="Arial Nova" w:hAnsi="Arial" w:cs="Arial"/>
          <w:sz w:val="22"/>
          <w:szCs w:val="22"/>
        </w:rPr>
        <w:t xml:space="preserve">rocedimiento </w:t>
      </w:r>
      <w:r>
        <w:rPr>
          <w:rFonts w:ascii="Arial" w:eastAsia="Arial Nova" w:hAnsi="Arial" w:cs="Arial"/>
          <w:sz w:val="22"/>
          <w:szCs w:val="22"/>
        </w:rPr>
        <w:t>E</w:t>
      </w:r>
      <w:r w:rsidRPr="008114D0">
        <w:rPr>
          <w:rFonts w:ascii="Arial" w:eastAsia="Arial Nova" w:hAnsi="Arial" w:cs="Arial"/>
          <w:sz w:val="22"/>
          <w:szCs w:val="22"/>
        </w:rPr>
        <w:t xml:space="preserve">special </w:t>
      </w:r>
      <w:r>
        <w:rPr>
          <w:rFonts w:ascii="Arial" w:eastAsia="Arial Nova" w:hAnsi="Arial" w:cs="Arial"/>
          <w:sz w:val="22"/>
          <w:szCs w:val="22"/>
        </w:rPr>
        <w:t>S</w:t>
      </w:r>
      <w:r w:rsidRPr="008114D0">
        <w:rPr>
          <w:rFonts w:ascii="Arial" w:eastAsia="Arial Nova" w:hAnsi="Arial" w:cs="Arial"/>
          <w:sz w:val="22"/>
          <w:szCs w:val="22"/>
        </w:rPr>
        <w:t xml:space="preserve">ancionador </w:t>
      </w:r>
      <w:r>
        <w:rPr>
          <w:rFonts w:ascii="Arial" w:eastAsia="Arial Nova" w:hAnsi="Arial" w:cs="Arial"/>
          <w:sz w:val="22"/>
          <w:szCs w:val="22"/>
        </w:rPr>
        <w:t>con la clave</w:t>
      </w:r>
      <w:r w:rsidRPr="008114D0">
        <w:rPr>
          <w:rFonts w:ascii="Arial" w:eastAsia="Arial Nova" w:hAnsi="Arial" w:cs="Arial"/>
          <w:sz w:val="22"/>
          <w:szCs w:val="22"/>
        </w:rPr>
        <w:t xml:space="preserve"> IEE/ PES/0</w:t>
      </w:r>
      <w:r>
        <w:rPr>
          <w:rFonts w:ascii="Arial" w:eastAsia="Arial Nova" w:hAnsi="Arial" w:cs="Arial"/>
          <w:sz w:val="22"/>
          <w:szCs w:val="22"/>
        </w:rPr>
        <w:t>98</w:t>
      </w:r>
      <w:r w:rsidRPr="008114D0">
        <w:rPr>
          <w:rFonts w:ascii="Arial" w:eastAsia="Arial Nova" w:hAnsi="Arial" w:cs="Arial"/>
          <w:sz w:val="22"/>
          <w:szCs w:val="22"/>
        </w:rPr>
        <w:t xml:space="preserve">/2021; además, procedió a </w:t>
      </w:r>
      <w:r>
        <w:rPr>
          <w:rFonts w:ascii="Arial" w:eastAsia="Arial Nova" w:hAnsi="Arial" w:cs="Arial"/>
          <w:sz w:val="22"/>
          <w:szCs w:val="22"/>
        </w:rPr>
        <w:t>ordenar la existencia y contenido del espectacular tipo lona denunciado.</w:t>
      </w:r>
    </w:p>
    <w:p w14:paraId="5400B8F3" w14:textId="5F160918" w:rsidR="00E142E6" w:rsidRDefault="00E142E6"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6B466B5" w14:textId="520AE246" w:rsidR="00E142E6" w:rsidRPr="008114D0" w:rsidRDefault="00E142E6" w:rsidP="00E142E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5</w:t>
      </w:r>
      <w:r w:rsidRPr="008114D0">
        <w:rPr>
          <w:rFonts w:ascii="Arial" w:eastAsia="Arial Nova" w:hAnsi="Arial" w:cs="Arial"/>
          <w:b/>
          <w:sz w:val="22"/>
          <w:szCs w:val="22"/>
        </w:rPr>
        <w:t>. Medidas cautelares.</w:t>
      </w:r>
      <w:r w:rsidRPr="008114D0">
        <w:rPr>
          <w:rFonts w:ascii="Arial" w:eastAsia="Arial Nova" w:hAnsi="Arial" w:cs="Arial"/>
          <w:sz w:val="22"/>
          <w:szCs w:val="22"/>
        </w:rPr>
        <w:t xml:space="preserve"> El </w:t>
      </w:r>
      <w:r>
        <w:rPr>
          <w:rFonts w:ascii="Arial" w:eastAsia="Arial Nova" w:hAnsi="Arial" w:cs="Arial"/>
          <w:sz w:val="22"/>
          <w:szCs w:val="22"/>
        </w:rPr>
        <w:t>dieciocho de junio</w:t>
      </w:r>
      <w:r w:rsidRPr="008114D0">
        <w:rPr>
          <w:rFonts w:ascii="Arial" w:eastAsia="Arial Nova" w:hAnsi="Arial" w:cs="Arial"/>
          <w:sz w:val="22"/>
          <w:szCs w:val="22"/>
        </w:rPr>
        <w:t xml:space="preserve">, el Secretario Ejecutivo </w:t>
      </w:r>
      <w:r w:rsidRPr="008114D0">
        <w:rPr>
          <w:rFonts w:ascii="Arial" w:eastAsia="Arial Nova" w:hAnsi="Arial" w:cs="Arial"/>
          <w:bCs/>
          <w:sz w:val="22"/>
          <w:szCs w:val="22"/>
        </w:rPr>
        <w:t xml:space="preserve">concluyó </w:t>
      </w:r>
      <w:r>
        <w:rPr>
          <w:rFonts w:ascii="Arial" w:eastAsia="Arial Nova" w:hAnsi="Arial" w:cs="Arial"/>
          <w:bCs/>
          <w:sz w:val="22"/>
          <w:szCs w:val="22"/>
        </w:rPr>
        <w:t xml:space="preserve">que no era necesario </w:t>
      </w:r>
      <w:r w:rsidRPr="008114D0">
        <w:rPr>
          <w:rFonts w:ascii="Arial" w:eastAsia="Arial Nova" w:hAnsi="Arial" w:cs="Arial"/>
          <w:bCs/>
          <w:sz w:val="22"/>
          <w:szCs w:val="22"/>
        </w:rPr>
        <w:t>proponer la adopción de medidas cautelares.</w:t>
      </w:r>
      <w:r w:rsidRPr="008114D0">
        <w:rPr>
          <w:rFonts w:ascii="Arial" w:eastAsia="Arial Nova" w:hAnsi="Arial" w:cs="Arial"/>
          <w:sz w:val="22"/>
          <w:szCs w:val="22"/>
        </w:rPr>
        <w:t xml:space="preserve"> Cabe precisar que la determinación tomada en el acuerdo referido, no fue controvertida conforme a lo establecido en el artículo 353,</w:t>
      </w:r>
      <w:r w:rsidRPr="008114D0">
        <w:rPr>
          <w:rFonts w:ascii="Arial" w:eastAsia="Arial Nova" w:hAnsi="Arial" w:cs="Arial"/>
          <w:sz w:val="22"/>
          <w:szCs w:val="22"/>
          <w:vertAlign w:val="superscript"/>
        </w:rPr>
        <w:footnoteReference w:id="1"/>
      </w:r>
      <w:r w:rsidRPr="008114D0">
        <w:rPr>
          <w:rFonts w:ascii="Arial" w:eastAsia="Arial Nova" w:hAnsi="Arial" w:cs="Arial"/>
          <w:sz w:val="22"/>
          <w:szCs w:val="22"/>
        </w:rPr>
        <w:t xml:space="preserve"> párrafo segundo del Código Electoral</w:t>
      </w:r>
      <w:r>
        <w:rPr>
          <w:rFonts w:ascii="Arial" w:eastAsia="Arial Nova" w:hAnsi="Arial" w:cs="Arial"/>
          <w:sz w:val="22"/>
          <w:szCs w:val="22"/>
        </w:rPr>
        <w:t>.</w:t>
      </w:r>
    </w:p>
    <w:p w14:paraId="6B67C318" w14:textId="7AF834B3" w:rsidR="00E142E6" w:rsidRDefault="00E142E6"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9E1DBA4" w14:textId="6B521E1C" w:rsidR="00E142E6" w:rsidRPr="006510DB" w:rsidRDefault="00E142E6" w:rsidP="00E142E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6</w:t>
      </w:r>
      <w:r w:rsidRPr="008114D0">
        <w:rPr>
          <w:rFonts w:ascii="Arial" w:eastAsia="Arial Nova" w:hAnsi="Arial" w:cs="Arial"/>
          <w:b/>
          <w:sz w:val="22"/>
          <w:szCs w:val="22"/>
        </w:rPr>
        <w:t xml:space="preserve">. </w:t>
      </w:r>
      <w:r>
        <w:rPr>
          <w:rFonts w:ascii="Arial" w:eastAsia="Arial Nova" w:hAnsi="Arial" w:cs="Arial"/>
          <w:b/>
          <w:sz w:val="22"/>
          <w:szCs w:val="22"/>
        </w:rPr>
        <w:t>Certificación de los hechos</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 xml:space="preserve">veintiuno de junio, la Jefa de Departamento de Oficialía Electoral, </w:t>
      </w:r>
      <w:r w:rsidR="002546E7">
        <w:rPr>
          <w:rFonts w:ascii="Arial" w:eastAsia="Arial Nova" w:hAnsi="Arial" w:cs="Arial"/>
          <w:sz w:val="22"/>
          <w:szCs w:val="22"/>
        </w:rPr>
        <w:t>ejecutó</w:t>
      </w:r>
      <w:r>
        <w:rPr>
          <w:rFonts w:ascii="Arial" w:eastAsia="Arial Nova" w:hAnsi="Arial" w:cs="Arial"/>
          <w:sz w:val="22"/>
          <w:szCs w:val="22"/>
        </w:rPr>
        <w:t xml:space="preserve"> la diligencia </w:t>
      </w:r>
      <w:r w:rsidR="002546E7">
        <w:rPr>
          <w:rFonts w:ascii="Arial" w:eastAsia="Arial Nova" w:hAnsi="Arial" w:cs="Arial"/>
          <w:sz w:val="22"/>
          <w:szCs w:val="22"/>
        </w:rPr>
        <w:t>IEE/OE/237/2021, mediante la cual, certifico la existencia y contenido del espectacular tipo lona fijado en un domicilio en el Municipio de Rincón de Romos</w:t>
      </w:r>
    </w:p>
    <w:p w14:paraId="1F0ABC2D" w14:textId="77777777" w:rsidR="00E142E6" w:rsidRDefault="00E142E6"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652BF89" w14:textId="6DBB1C96" w:rsidR="002546E7" w:rsidRDefault="002546E7" w:rsidP="002546E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7</w:t>
      </w:r>
      <w:r w:rsidRPr="008114D0">
        <w:rPr>
          <w:rFonts w:ascii="Arial" w:eastAsia="Arial Nova" w:hAnsi="Arial" w:cs="Arial"/>
          <w:b/>
          <w:sz w:val="22"/>
          <w:szCs w:val="22"/>
        </w:rPr>
        <w:t xml:space="preserve">. </w:t>
      </w:r>
      <w:r>
        <w:rPr>
          <w:rFonts w:ascii="Arial" w:eastAsia="Arial Nova" w:hAnsi="Arial" w:cs="Arial"/>
          <w:b/>
          <w:sz w:val="22"/>
          <w:szCs w:val="22"/>
        </w:rPr>
        <w:t>Admisión de la queja</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veintidós de junio</w:t>
      </w:r>
      <w:r w:rsidRPr="008114D0">
        <w:rPr>
          <w:rFonts w:ascii="Arial" w:eastAsia="Arial Nova" w:hAnsi="Arial" w:cs="Arial"/>
          <w:sz w:val="22"/>
          <w:szCs w:val="22"/>
        </w:rPr>
        <w:t xml:space="preserve">, el Secretario Ejecutivo procedió a determinar la admisión de la denuncia </w:t>
      </w:r>
      <w:r>
        <w:rPr>
          <w:rFonts w:ascii="Arial" w:eastAsia="Arial Nova" w:hAnsi="Arial" w:cs="Arial"/>
          <w:sz w:val="22"/>
          <w:szCs w:val="22"/>
        </w:rPr>
        <w:t>por “la presunta colocación de un espectacular fuera del periodo comprendido para campaña”; además citó a las partes a la audiencia de pruebas y alegatos con verificativo el día viernes veinticinco de junio a las dieciocho horas.</w:t>
      </w:r>
    </w:p>
    <w:p w14:paraId="0BD29073"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7FC4865" w14:textId="1930EDD8" w:rsidR="002011BB" w:rsidRPr="008114D0" w:rsidRDefault="002011BB" w:rsidP="002011BB">
      <w:pPr>
        <w:spacing w:line="360" w:lineRule="auto"/>
        <w:jc w:val="both"/>
        <w:rPr>
          <w:rFonts w:ascii="Arial" w:hAnsi="Arial" w:cs="Arial"/>
          <w:bCs/>
          <w:sz w:val="22"/>
          <w:szCs w:val="22"/>
        </w:rPr>
      </w:pPr>
      <w:r w:rsidRPr="008114D0">
        <w:rPr>
          <w:rFonts w:ascii="Arial" w:eastAsia="Arial Nova" w:hAnsi="Arial" w:cs="Arial"/>
          <w:b/>
          <w:sz w:val="22"/>
          <w:szCs w:val="22"/>
        </w:rPr>
        <w:t>1.</w:t>
      </w:r>
      <w:r w:rsidR="002546E7">
        <w:rPr>
          <w:rFonts w:ascii="Arial" w:eastAsia="Arial Nova" w:hAnsi="Arial" w:cs="Arial"/>
          <w:b/>
          <w:sz w:val="22"/>
          <w:szCs w:val="22"/>
        </w:rPr>
        <w:t>8</w:t>
      </w:r>
      <w:r w:rsidRPr="008114D0">
        <w:rPr>
          <w:rFonts w:ascii="Arial" w:eastAsia="Arial Nova" w:hAnsi="Arial" w:cs="Arial"/>
          <w:b/>
          <w:sz w:val="22"/>
          <w:szCs w:val="22"/>
        </w:rPr>
        <w:t xml:space="preserve">.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sidR="002546E7">
        <w:rPr>
          <w:rFonts w:ascii="Arial" w:hAnsi="Arial" w:cs="Arial"/>
          <w:bCs/>
          <w:sz w:val="22"/>
          <w:szCs w:val="22"/>
        </w:rPr>
        <w:t>veinticinco</w:t>
      </w:r>
      <w:r w:rsidR="008155D6">
        <w:rPr>
          <w:rFonts w:ascii="Arial" w:hAnsi="Arial" w:cs="Arial"/>
          <w:bCs/>
          <w:sz w:val="22"/>
          <w:szCs w:val="22"/>
        </w:rPr>
        <w:t xml:space="preserve"> de junio</w:t>
      </w:r>
      <w:r w:rsidRPr="008114D0">
        <w:rPr>
          <w:rFonts w:ascii="Arial" w:hAnsi="Arial"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DB5C79C" w14:textId="77777777" w:rsidR="00283ADE" w:rsidRDefault="00283ADE"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BFDBCEF" w14:textId="4BFCF56A"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A76FB3">
        <w:rPr>
          <w:rFonts w:ascii="Arial" w:eastAsia="Arial Nova" w:hAnsi="Arial" w:cs="Arial"/>
          <w:b/>
          <w:sz w:val="22"/>
          <w:szCs w:val="22"/>
        </w:rPr>
        <w:t>8</w:t>
      </w:r>
      <w:r w:rsidRPr="008114D0">
        <w:rPr>
          <w:rFonts w:ascii="Arial" w:eastAsia="Arial Nova" w:hAnsi="Arial" w:cs="Arial"/>
          <w:b/>
          <w:sz w:val="22"/>
          <w:szCs w:val="22"/>
        </w:rPr>
        <w:t xml:space="preserve">. Turno del expediente. </w:t>
      </w:r>
      <w:r w:rsidRPr="008114D0">
        <w:rPr>
          <w:rFonts w:ascii="Arial" w:eastAsia="Arial Nova" w:hAnsi="Arial" w:cs="Arial"/>
          <w:sz w:val="22"/>
          <w:szCs w:val="22"/>
        </w:rPr>
        <w:t xml:space="preserve">El </w:t>
      </w:r>
      <w:r w:rsidR="002546E7">
        <w:rPr>
          <w:rFonts w:ascii="Arial" w:eastAsia="Arial Nova" w:hAnsi="Arial" w:cs="Arial"/>
          <w:sz w:val="22"/>
          <w:szCs w:val="22"/>
        </w:rPr>
        <w:t>veintisiete</w:t>
      </w:r>
      <w:r w:rsidRPr="008114D0">
        <w:rPr>
          <w:rFonts w:ascii="Arial" w:eastAsia="Arial Nova" w:hAnsi="Arial" w:cs="Arial"/>
          <w:sz w:val="22"/>
          <w:szCs w:val="22"/>
        </w:rPr>
        <w:t xml:space="preserve"> </w:t>
      </w:r>
      <w:r w:rsidR="00283ADE">
        <w:rPr>
          <w:rFonts w:ascii="Arial" w:eastAsia="Arial Nova" w:hAnsi="Arial" w:cs="Arial"/>
          <w:sz w:val="22"/>
          <w:szCs w:val="22"/>
        </w:rPr>
        <w:t>de junio</w:t>
      </w:r>
      <w:r w:rsidRPr="008114D0">
        <w:rPr>
          <w:rFonts w:ascii="Arial" w:eastAsia="Arial Nova" w:hAnsi="Arial" w:cs="Arial"/>
          <w:sz w:val="22"/>
          <w:szCs w:val="22"/>
        </w:rPr>
        <w:t xml:space="preserve">, mediante Acuerdo de Turno de Presidencia, se ordenó el registro del asunto en el Libro de Gobierno de Procedimientos Especiales Sancionadores, </w:t>
      </w:r>
      <w:r w:rsidRPr="008114D0">
        <w:rPr>
          <w:rFonts w:ascii="Arial" w:eastAsia="Arial Nova" w:hAnsi="Arial" w:cs="Arial"/>
          <w:sz w:val="22"/>
          <w:szCs w:val="22"/>
        </w:rPr>
        <w:lastRenderedPageBreak/>
        <w:t>al que correspondió el número de expediente TEEA-PES-0</w:t>
      </w:r>
      <w:r w:rsidR="002546E7">
        <w:rPr>
          <w:rFonts w:ascii="Arial" w:eastAsia="Arial Nova" w:hAnsi="Arial" w:cs="Arial"/>
          <w:sz w:val="22"/>
          <w:szCs w:val="22"/>
        </w:rPr>
        <w:t>83</w:t>
      </w:r>
      <w:r w:rsidRPr="008114D0">
        <w:rPr>
          <w:rFonts w:ascii="Arial" w:eastAsia="Arial Nova" w:hAnsi="Arial" w:cs="Arial"/>
          <w:sz w:val="22"/>
          <w:szCs w:val="22"/>
        </w:rPr>
        <w:t>/2021 y se turnó a la Ponencia del Magistrado Héctor Salvador Hernández Gallegos.</w:t>
      </w:r>
    </w:p>
    <w:p w14:paraId="2045E29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124C17" w14:textId="5DD11F61"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Pr>
          <w:rFonts w:ascii="Arial" w:eastAsia="Arial Nova" w:hAnsi="Arial" w:cs="Arial"/>
          <w:b/>
          <w:sz w:val="22"/>
          <w:szCs w:val="22"/>
        </w:rPr>
        <w:t>10</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5833FF">
        <w:rPr>
          <w:rFonts w:ascii="Arial" w:eastAsia="Arial Nova" w:hAnsi="Arial" w:cs="Arial"/>
          <w:bCs/>
          <w:sz w:val="22"/>
          <w:szCs w:val="22"/>
        </w:rPr>
        <w:t xml:space="preserve">. </w:t>
      </w:r>
      <w:r w:rsidR="00205901" w:rsidRPr="000B511B">
        <w:rPr>
          <w:rFonts w:ascii="Arial" w:eastAsia="Arial Nova" w:hAnsi="Arial" w:cs="Arial"/>
          <w:bCs/>
          <w:sz w:val="22"/>
          <w:szCs w:val="22"/>
        </w:rPr>
        <w:t xml:space="preserve">El </w:t>
      </w:r>
      <w:r w:rsidR="00151E88">
        <w:rPr>
          <w:rFonts w:ascii="Arial" w:eastAsia="Arial Nova" w:hAnsi="Arial" w:cs="Arial"/>
          <w:bCs/>
          <w:sz w:val="22"/>
          <w:szCs w:val="22"/>
        </w:rPr>
        <w:t>cinco</w:t>
      </w:r>
      <w:r w:rsidRPr="000B511B">
        <w:rPr>
          <w:rFonts w:ascii="Arial" w:eastAsia="Arial Nova" w:hAnsi="Arial" w:cs="Arial"/>
          <w:bCs/>
          <w:sz w:val="22"/>
          <w:szCs w:val="22"/>
        </w:rPr>
        <w:t xml:space="preserve"> de </w:t>
      </w:r>
      <w:r w:rsidR="00051001" w:rsidRPr="000B511B">
        <w:rPr>
          <w:rFonts w:ascii="Arial" w:eastAsia="Arial Nova" w:hAnsi="Arial" w:cs="Arial"/>
          <w:bCs/>
          <w:sz w:val="22"/>
          <w:szCs w:val="22"/>
        </w:rPr>
        <w:t>ju</w:t>
      </w:r>
      <w:r w:rsidR="000B511B" w:rsidRPr="000B511B">
        <w:rPr>
          <w:rFonts w:ascii="Arial" w:eastAsia="Arial Nova" w:hAnsi="Arial" w:cs="Arial"/>
          <w:bCs/>
          <w:sz w:val="22"/>
          <w:szCs w:val="22"/>
        </w:rPr>
        <w:t>l</w:t>
      </w:r>
      <w:r w:rsidR="00051001" w:rsidRPr="000B511B">
        <w:rPr>
          <w:rFonts w:ascii="Arial" w:eastAsia="Arial Nova" w:hAnsi="Arial" w:cs="Arial"/>
          <w:bCs/>
          <w:sz w:val="22"/>
          <w:szCs w:val="22"/>
        </w:rPr>
        <w:t>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3CFDDFA7" w14:textId="77777777"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29C1B1C" w14:textId="77777777"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3A1C4D0A" w14:textId="77777777" w:rsidR="00655FEF" w:rsidRPr="005833FF" w:rsidRDefault="00655FE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A5FC279" w14:textId="0E2A0663" w:rsidR="006312A8" w:rsidRPr="005833FF" w:rsidRDefault="006312A8" w:rsidP="006312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w:t>
      </w:r>
      <w:r w:rsidR="00743DEE">
        <w:rPr>
          <w:rFonts w:ascii="Arial" w:eastAsia="Arial Nova" w:hAnsi="Arial" w:cs="Arial"/>
          <w:sz w:val="22"/>
          <w:szCs w:val="22"/>
        </w:rPr>
        <w:t xml:space="preserve">podría configurar una infracción a la normatividad electoral con incidencia en el Proceso Electoral 2020-2021, en específico por la </w:t>
      </w:r>
      <w:r w:rsidR="002546E7">
        <w:rPr>
          <w:rFonts w:ascii="Arial" w:eastAsia="Arial Nova" w:hAnsi="Arial" w:cs="Arial"/>
          <w:sz w:val="22"/>
          <w:szCs w:val="22"/>
        </w:rPr>
        <w:t>supuesta colocación</w:t>
      </w:r>
      <w:r w:rsidR="00743DEE">
        <w:rPr>
          <w:rFonts w:ascii="Arial" w:eastAsia="Arial Nova" w:hAnsi="Arial" w:cs="Arial"/>
          <w:sz w:val="22"/>
          <w:szCs w:val="22"/>
        </w:rPr>
        <w:t xml:space="preserve"> </w:t>
      </w:r>
      <w:r w:rsidR="002546E7">
        <w:rPr>
          <w:rFonts w:ascii="Arial" w:eastAsia="Arial Nova" w:hAnsi="Arial" w:cs="Arial"/>
          <w:sz w:val="22"/>
          <w:szCs w:val="22"/>
        </w:rPr>
        <w:t xml:space="preserve">de un espectacular </w:t>
      </w:r>
      <w:r w:rsidR="00743DEE">
        <w:rPr>
          <w:rFonts w:ascii="Arial" w:eastAsia="Arial Nova" w:hAnsi="Arial" w:cs="Arial"/>
          <w:sz w:val="22"/>
          <w:szCs w:val="22"/>
        </w:rPr>
        <w:t>que violenta los principios del derecho electoral durante el periodo de reflexión o veda electoral.</w:t>
      </w:r>
    </w:p>
    <w:p w14:paraId="65A9A50E" w14:textId="77777777" w:rsidR="006B7F97" w:rsidRDefault="006B7F97"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5252BD" w14:textId="128505E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2"/>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52D2535"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00F481EC"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7417A166"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 xml:space="preserve">CÓMPUTO PARA EL EJERCICIO DE UN DERECHO O LA LIBERACIÓN DE UNA OBLIGACIÓN, </w:t>
      </w:r>
      <w:r w:rsidRPr="005833FF">
        <w:rPr>
          <w:rFonts w:ascii="Arial" w:eastAsia="Arial Nova" w:hAnsi="Arial" w:cs="Arial"/>
          <w:b/>
          <w:bCs/>
          <w:sz w:val="22"/>
          <w:szCs w:val="22"/>
        </w:rPr>
        <w:lastRenderedPageBreak/>
        <w:t>CUANDO SE TRATA DE ACTOS DE TRACTO SUCESIVO</w:t>
      </w:r>
      <w:r w:rsidRPr="005833FF">
        <w:rPr>
          <w:rFonts w:ascii="Arial" w:eastAsia="Arial Nova" w:hAnsi="Arial" w:cs="Arial"/>
          <w:sz w:val="22"/>
          <w:szCs w:val="22"/>
        </w:rPr>
        <w:t>. Por lo tanto, es oportuna la presentación de la denuncia.</w:t>
      </w:r>
    </w:p>
    <w:p w14:paraId="4997BD44" w14:textId="77777777" w:rsidR="00AA0677" w:rsidRDefault="00AA0677"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455DC12" w14:textId="6A910C4B" w:rsidR="003D56A4"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599181EB" w14:textId="77777777" w:rsidR="00BB7F8E" w:rsidRPr="005833FF" w:rsidRDefault="00BB7F8E"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53299EB"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8EB8E36" w14:textId="4709AF78" w:rsidR="003D56A4" w:rsidRPr="005833FF"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24649EAF" w14:textId="77777777" w:rsidR="00B76C30" w:rsidRDefault="00B76C30" w:rsidP="003D56A4">
      <w:pPr>
        <w:spacing w:line="360" w:lineRule="auto"/>
        <w:jc w:val="both"/>
        <w:rPr>
          <w:rFonts w:ascii="Arial" w:hAnsi="Arial" w:cs="Arial"/>
          <w:sz w:val="22"/>
          <w:szCs w:val="22"/>
        </w:rPr>
      </w:pPr>
    </w:p>
    <w:p w14:paraId="62FFF206" w14:textId="10519242"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856718D" w14:textId="7FAF5667" w:rsidR="003D56A4" w:rsidRPr="005833FF" w:rsidRDefault="00EA481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674EF028"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4AC0B29" w14:textId="319325F9" w:rsidR="008340FA" w:rsidRDefault="002546E7"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 xml:space="preserve">El quejoso esencialmente </w:t>
      </w:r>
      <w:r w:rsidR="008340FA">
        <w:rPr>
          <w:rFonts w:ascii="Arial" w:hAnsi="Arial" w:cs="Arial"/>
          <w:bCs/>
          <w:sz w:val="22"/>
          <w:szCs w:val="22"/>
        </w:rPr>
        <w:t xml:space="preserve">aduce que el día tres de junio, se percató en una calle del Municipio de Rincón de Romos, Aguascalientes; de la existencia de un espectacular sin el numero de registro que emite el INE para este tipo de publicidad, además de que dicha lona fue colocada ya en el periodo de veda electoral, lo que transgrede los principios de legalidad y equidad de la contienda. </w:t>
      </w:r>
    </w:p>
    <w:p w14:paraId="155E059E" w14:textId="530A2DD4" w:rsidR="008340FA" w:rsidRDefault="008340FA"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tbl>
      <w:tblPr>
        <w:tblStyle w:val="Tablaconcuadrcula"/>
        <w:tblW w:w="0" w:type="auto"/>
        <w:tblLook w:val="04A0" w:firstRow="1" w:lastRow="0" w:firstColumn="1" w:lastColumn="0" w:noHBand="0" w:noVBand="1"/>
      </w:tblPr>
      <w:tblGrid>
        <w:gridCol w:w="9913"/>
      </w:tblGrid>
      <w:tr w:rsidR="008340FA" w14:paraId="6484A0C4" w14:textId="77777777" w:rsidTr="008340FA">
        <w:tc>
          <w:tcPr>
            <w:tcW w:w="9913" w:type="dxa"/>
            <w:shd w:val="clear" w:color="auto" w:fill="F2F2F2" w:themeFill="background1" w:themeFillShade="F2"/>
          </w:tcPr>
          <w:p w14:paraId="3D82F883" w14:textId="1308D092" w:rsidR="008340FA" w:rsidRDefault="008340FA" w:rsidP="008340FA">
            <w:pPr>
              <w:tabs>
                <w:tab w:val="left" w:pos="567"/>
              </w:tabs>
              <w:spacing w:line="360" w:lineRule="auto"/>
              <w:ind w:right="36"/>
              <w:jc w:val="center"/>
              <w:rPr>
                <w:rFonts w:ascii="Arial" w:hAnsi="Arial" w:cs="Arial"/>
                <w:bCs/>
                <w:sz w:val="22"/>
                <w:szCs w:val="22"/>
              </w:rPr>
            </w:pPr>
            <w:r w:rsidRPr="008340FA">
              <w:rPr>
                <w:rFonts w:ascii="Arial" w:hAnsi="Arial" w:cs="Arial"/>
                <w:bCs/>
                <w:noProof/>
                <w:sz w:val="22"/>
                <w:szCs w:val="22"/>
              </w:rPr>
              <w:drawing>
                <wp:inline distT="0" distB="0" distL="0" distR="0" wp14:anchorId="56ABD0D7" wp14:editId="125F0476">
                  <wp:extent cx="4981525" cy="321508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3698" cy="3216490"/>
                          </a:xfrm>
                          <a:prstGeom prst="rect">
                            <a:avLst/>
                          </a:prstGeom>
                          <a:noFill/>
                          <a:ln>
                            <a:noFill/>
                          </a:ln>
                        </pic:spPr>
                      </pic:pic>
                    </a:graphicData>
                  </a:graphic>
                </wp:inline>
              </w:drawing>
            </w:r>
          </w:p>
        </w:tc>
      </w:tr>
    </w:tbl>
    <w:p w14:paraId="488CF708" w14:textId="77777777" w:rsidR="008340FA" w:rsidRDefault="008340FA"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4051518C" w14:textId="0E66876F" w:rsidR="002546E7" w:rsidRDefault="008340FA"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En tal consideración, la parte denunciante presentó el escrito de queja respectivo ante el INE; sin embargo, esa autoridad advirtió que no tenía competencia respecto de las conductas denunciadas, y determinó que los hechos denunciados correspondían al conocimiento de la autoridad administrativa electoral local.</w:t>
      </w:r>
    </w:p>
    <w:p w14:paraId="0E6664B3" w14:textId="0931E36C" w:rsidR="008403C4" w:rsidRDefault="008403C4"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59EE6925" w14:textId="2A449226" w:rsidR="008403C4" w:rsidRDefault="008403C4"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23A79040" w14:textId="77777777" w:rsidR="008403C4" w:rsidRDefault="008403C4"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04DA733" w14:textId="77777777" w:rsidR="002546E7" w:rsidRDefault="002546E7"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FA904CA" w14:textId="21E0A951" w:rsidR="00A62B7E" w:rsidRDefault="00A62B7E" w:rsidP="00A62B7E">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lastRenderedPageBreak/>
        <w:t>5</w:t>
      </w:r>
      <w:r w:rsidRPr="005833FF">
        <w:rPr>
          <w:rFonts w:ascii="Arial" w:eastAsia="Arial Nova" w:hAnsi="Arial" w:cs="Arial"/>
          <w:b/>
          <w:sz w:val="22"/>
          <w:szCs w:val="22"/>
        </w:rPr>
        <w:t>.</w:t>
      </w:r>
      <w:r>
        <w:rPr>
          <w:rFonts w:ascii="Arial" w:eastAsia="Arial Nova" w:hAnsi="Arial" w:cs="Arial"/>
          <w:b/>
          <w:sz w:val="22"/>
          <w:szCs w:val="22"/>
        </w:rPr>
        <w:t>2</w:t>
      </w:r>
      <w:r w:rsidRPr="005833FF">
        <w:rPr>
          <w:rFonts w:ascii="Arial" w:eastAsia="Arial Nova" w:hAnsi="Arial" w:cs="Arial"/>
          <w:b/>
          <w:sz w:val="22"/>
          <w:szCs w:val="22"/>
        </w:rPr>
        <w:t xml:space="preserve">. </w:t>
      </w:r>
      <w:r>
        <w:rPr>
          <w:rFonts w:ascii="Arial" w:eastAsia="Arial Nova" w:hAnsi="Arial" w:cs="Arial"/>
          <w:b/>
          <w:sz w:val="22"/>
          <w:szCs w:val="22"/>
        </w:rPr>
        <w:t>Defensa de los</w:t>
      </w:r>
      <w:r w:rsidRPr="005833FF">
        <w:rPr>
          <w:rFonts w:ascii="Arial" w:eastAsia="Arial Nova" w:hAnsi="Arial" w:cs="Arial"/>
          <w:b/>
          <w:sz w:val="22"/>
          <w:szCs w:val="22"/>
        </w:rPr>
        <w:t xml:space="preserve"> denunciados.</w:t>
      </w:r>
    </w:p>
    <w:p w14:paraId="42CC5B99" w14:textId="34E2C7E3" w:rsidR="00A62B7E" w:rsidRDefault="00A62B7E" w:rsidP="00A62B7E">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69B2235" w14:textId="0F19ACE7" w:rsidR="00A62B7E" w:rsidRDefault="00087E7E" w:rsidP="008340FA">
      <w:pPr>
        <w:pStyle w:val="Prrafodelista"/>
        <w:numPr>
          <w:ilvl w:val="0"/>
          <w:numId w:val="24"/>
        </w:numPr>
        <w:pBdr>
          <w:top w:val="nil"/>
          <w:left w:val="nil"/>
          <w:bottom w:val="nil"/>
          <w:right w:val="nil"/>
          <w:between w:val="nil"/>
        </w:pBdr>
        <w:tabs>
          <w:tab w:val="left" w:pos="567"/>
        </w:tabs>
        <w:spacing w:line="360" w:lineRule="auto"/>
        <w:ind w:left="426" w:right="36" w:hanging="284"/>
        <w:jc w:val="both"/>
        <w:rPr>
          <w:rFonts w:ascii="Arial" w:eastAsia="Arial Nova" w:hAnsi="Arial" w:cs="Arial"/>
          <w:bCs/>
          <w:sz w:val="22"/>
          <w:szCs w:val="22"/>
        </w:rPr>
      </w:pPr>
      <w:r>
        <w:rPr>
          <w:rFonts w:ascii="Arial" w:eastAsia="Arial Nova" w:hAnsi="Arial" w:cs="Arial"/>
          <w:b/>
          <w:sz w:val="22"/>
          <w:szCs w:val="22"/>
        </w:rPr>
        <w:t xml:space="preserve">C. </w:t>
      </w:r>
      <w:r w:rsidR="008340FA">
        <w:rPr>
          <w:rFonts w:ascii="Arial" w:eastAsia="Arial Nova" w:hAnsi="Arial" w:cs="Arial"/>
          <w:b/>
          <w:sz w:val="22"/>
          <w:szCs w:val="22"/>
        </w:rPr>
        <w:t>Francisco Javier Rivera Luevano</w:t>
      </w:r>
      <w:r w:rsidR="00A62B7E">
        <w:rPr>
          <w:rFonts w:ascii="Arial" w:eastAsia="Arial Nova" w:hAnsi="Arial" w:cs="Arial"/>
          <w:b/>
          <w:sz w:val="22"/>
          <w:szCs w:val="22"/>
        </w:rPr>
        <w:t xml:space="preserve">, </w:t>
      </w:r>
      <w:r w:rsidR="004A64C5">
        <w:rPr>
          <w:rFonts w:ascii="Arial" w:eastAsia="Arial Nova" w:hAnsi="Arial" w:cs="Arial"/>
          <w:bCs/>
          <w:sz w:val="22"/>
          <w:szCs w:val="22"/>
        </w:rPr>
        <w:t>catalogó de falso lo sostenido por el denunciante, ya que la propaganda en controversia fue instalada el tres de mayo, contrario a lo manifestado por el quejoso que apuntó que la lona se colocó en el periodo de veda; por lo que invoca la improcedencia de la denuncia.</w:t>
      </w:r>
    </w:p>
    <w:p w14:paraId="670ACED1" w14:textId="77777777" w:rsidR="004A64C5" w:rsidRDefault="004A64C5" w:rsidP="004A64C5">
      <w:pPr>
        <w:pStyle w:val="Prrafodelista"/>
        <w:pBdr>
          <w:top w:val="nil"/>
          <w:left w:val="nil"/>
          <w:bottom w:val="nil"/>
          <w:right w:val="nil"/>
          <w:between w:val="nil"/>
        </w:pBdr>
        <w:tabs>
          <w:tab w:val="left" w:pos="567"/>
        </w:tabs>
        <w:spacing w:line="360" w:lineRule="auto"/>
        <w:ind w:left="426" w:right="36"/>
        <w:jc w:val="both"/>
        <w:rPr>
          <w:rFonts w:ascii="Arial" w:eastAsia="Arial Nova" w:hAnsi="Arial" w:cs="Arial"/>
          <w:bCs/>
          <w:sz w:val="22"/>
          <w:szCs w:val="22"/>
        </w:rPr>
      </w:pPr>
    </w:p>
    <w:p w14:paraId="5E13D7CB" w14:textId="56FCBDA4" w:rsidR="004A64C5" w:rsidRPr="004A64C5" w:rsidRDefault="004A64C5" w:rsidP="004A64C5">
      <w:pPr>
        <w:pStyle w:val="Prrafodelista"/>
        <w:pBdr>
          <w:top w:val="nil"/>
          <w:left w:val="nil"/>
          <w:bottom w:val="nil"/>
          <w:right w:val="nil"/>
          <w:between w:val="nil"/>
        </w:pBdr>
        <w:tabs>
          <w:tab w:val="left" w:pos="567"/>
        </w:tabs>
        <w:spacing w:line="360" w:lineRule="auto"/>
        <w:ind w:left="426" w:right="36"/>
        <w:jc w:val="both"/>
        <w:rPr>
          <w:rFonts w:ascii="Arial" w:eastAsia="Arial Nova" w:hAnsi="Arial" w:cs="Arial"/>
          <w:bCs/>
          <w:sz w:val="22"/>
          <w:szCs w:val="22"/>
        </w:rPr>
      </w:pPr>
      <w:r w:rsidRPr="004A64C5">
        <w:rPr>
          <w:rFonts w:ascii="Arial" w:eastAsia="Arial Nova" w:hAnsi="Arial" w:cs="Arial"/>
          <w:bCs/>
          <w:sz w:val="22"/>
          <w:szCs w:val="22"/>
        </w:rPr>
        <w:t>Por otra parte, sugiere que la referida manta publicitaria no constituye un anuncio espectacular en términos de lo establecido en el Reglamento de Fiscalización</w:t>
      </w:r>
      <w:r>
        <w:rPr>
          <w:rFonts w:ascii="Arial" w:eastAsia="Arial Nova" w:hAnsi="Arial" w:cs="Arial"/>
          <w:bCs/>
          <w:sz w:val="22"/>
          <w:szCs w:val="22"/>
        </w:rPr>
        <w:t>; además de que, la publicidad denunciada, fue legítima y legalmente desplegada, dentro de los plazos y términos previstos en la ley, y con el debido consentimiento del propietario del inmueble.</w:t>
      </w:r>
    </w:p>
    <w:p w14:paraId="1293F578" w14:textId="77777777" w:rsidR="00A62B7E" w:rsidRPr="00A62B7E" w:rsidRDefault="00A62B7E" w:rsidP="00A62B7E">
      <w:pPr>
        <w:pBdr>
          <w:top w:val="nil"/>
          <w:left w:val="nil"/>
          <w:bottom w:val="nil"/>
          <w:right w:val="nil"/>
          <w:between w:val="nil"/>
        </w:pBdr>
        <w:tabs>
          <w:tab w:val="left" w:pos="567"/>
        </w:tabs>
        <w:spacing w:line="360" w:lineRule="auto"/>
        <w:ind w:right="36"/>
        <w:jc w:val="both"/>
        <w:rPr>
          <w:rFonts w:ascii="Arial" w:hAnsi="Arial" w:cs="Arial"/>
          <w:bCs/>
          <w:sz w:val="22"/>
          <w:szCs w:val="22"/>
        </w:rPr>
      </w:pPr>
    </w:p>
    <w:bookmarkEnd w:id="3"/>
    <w:p w14:paraId="0084833C" w14:textId="77777777" w:rsidR="00722B62" w:rsidRDefault="00722B62"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C2C2F74" w14:textId="66FFDB14" w:rsidR="003D56A4" w:rsidRDefault="00EA481E"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36254624" w14:textId="77777777" w:rsidR="003D56A4" w:rsidRPr="005833FF" w:rsidRDefault="003D56A4" w:rsidP="005C192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00941E" w14:textId="77777777" w:rsidR="003D56A4" w:rsidRPr="005833FF" w:rsidRDefault="003D56A4" w:rsidP="005C192D">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3"/>
      </w:r>
    </w:p>
    <w:p w14:paraId="643F0FD9" w14:textId="77777777" w:rsidR="003D56A4" w:rsidRPr="005833FF" w:rsidRDefault="003D56A4" w:rsidP="003D56A4">
      <w:pPr>
        <w:spacing w:line="360" w:lineRule="auto"/>
        <w:jc w:val="both"/>
        <w:rPr>
          <w:rFonts w:ascii="Arial" w:hAnsi="Arial" w:cs="Arial"/>
          <w:b/>
          <w:sz w:val="22"/>
          <w:szCs w:val="22"/>
        </w:rPr>
      </w:pPr>
    </w:p>
    <w:p w14:paraId="692C69E1" w14:textId="6A7FCECC" w:rsidR="00B966E4" w:rsidRPr="001D7982" w:rsidRDefault="009C6BAC" w:rsidP="008C2DA6">
      <w:pPr>
        <w:pStyle w:val="Prrafodelista"/>
        <w:numPr>
          <w:ilvl w:val="0"/>
          <w:numId w:val="18"/>
        </w:numPr>
        <w:spacing w:line="360" w:lineRule="auto"/>
        <w:jc w:val="both"/>
        <w:rPr>
          <w:rFonts w:ascii="Arial" w:hAnsi="Arial" w:cs="Arial"/>
          <w:bCs/>
          <w:sz w:val="22"/>
          <w:szCs w:val="22"/>
        </w:rPr>
      </w:pPr>
      <w:r w:rsidRPr="001D7982">
        <w:rPr>
          <w:rFonts w:ascii="Arial" w:hAnsi="Arial" w:cs="Arial"/>
          <w:bCs/>
          <w:sz w:val="22"/>
          <w:szCs w:val="22"/>
        </w:rPr>
        <w:t xml:space="preserve">En la audiencia de pruebas y alegatos, </w:t>
      </w:r>
      <w:r w:rsidR="008C2DA6">
        <w:rPr>
          <w:rFonts w:ascii="Arial" w:hAnsi="Arial" w:cs="Arial"/>
          <w:bCs/>
          <w:sz w:val="22"/>
          <w:szCs w:val="22"/>
        </w:rPr>
        <w:t>no comparecieron las partes.</w:t>
      </w:r>
    </w:p>
    <w:p w14:paraId="6786E370" w14:textId="3CD0279D" w:rsidR="00AE4D00" w:rsidRPr="00AE4D00" w:rsidRDefault="00AE4D00" w:rsidP="00AE4D00">
      <w:pPr>
        <w:spacing w:line="360" w:lineRule="auto"/>
        <w:ind w:left="851" w:right="851"/>
        <w:jc w:val="both"/>
        <w:rPr>
          <w:rFonts w:ascii="Arial" w:hAnsi="Arial" w:cs="Arial"/>
          <w:bCs/>
          <w:i/>
          <w:iCs/>
          <w:sz w:val="22"/>
          <w:szCs w:val="22"/>
        </w:rPr>
      </w:pPr>
    </w:p>
    <w:p w14:paraId="1E57C31B" w14:textId="77777777" w:rsidR="00722B62" w:rsidRDefault="00722B62" w:rsidP="00E755EE">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7A531013" w14:textId="2AF89ACF"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2A0948E9" w14:textId="48887D10" w:rsidR="00266333" w:rsidRDefault="00266333"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decuadrcula4"/>
        <w:tblW w:w="10065" w:type="dxa"/>
        <w:jc w:val="center"/>
        <w:tblLook w:val="04A0" w:firstRow="1" w:lastRow="0" w:firstColumn="1" w:lastColumn="0" w:noHBand="0" w:noVBand="1"/>
      </w:tblPr>
      <w:tblGrid>
        <w:gridCol w:w="1595"/>
        <w:gridCol w:w="1383"/>
        <w:gridCol w:w="2835"/>
        <w:gridCol w:w="4252"/>
      </w:tblGrid>
      <w:tr w:rsidR="00345EF4" w:rsidRPr="00EC5583" w14:paraId="7AC8172E" w14:textId="77777777" w:rsidTr="00345E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5" w:type="dxa"/>
          </w:tcPr>
          <w:p w14:paraId="25659C06" w14:textId="77777777" w:rsidR="00345EF4" w:rsidRPr="00345EF4" w:rsidRDefault="00345EF4" w:rsidP="00345EF4">
            <w:pPr>
              <w:jc w:val="center"/>
              <w:rPr>
                <w:rFonts w:ascii="Arial" w:hAnsi="Arial" w:cs="Arial"/>
                <w:sz w:val="18"/>
                <w:szCs w:val="18"/>
              </w:rPr>
            </w:pPr>
            <w:r w:rsidRPr="00345EF4">
              <w:rPr>
                <w:rFonts w:ascii="Arial" w:hAnsi="Arial" w:cs="Arial"/>
                <w:sz w:val="18"/>
                <w:szCs w:val="18"/>
              </w:rPr>
              <w:t>OFERENTE.</w:t>
            </w:r>
          </w:p>
        </w:tc>
        <w:tc>
          <w:tcPr>
            <w:tcW w:w="1383" w:type="dxa"/>
          </w:tcPr>
          <w:p w14:paraId="461F68DF" w14:textId="77777777" w:rsidR="00345EF4" w:rsidRPr="00345EF4" w:rsidRDefault="00345EF4" w:rsidP="00345EF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PRUEBA.</w:t>
            </w:r>
          </w:p>
        </w:tc>
        <w:tc>
          <w:tcPr>
            <w:tcW w:w="2835" w:type="dxa"/>
          </w:tcPr>
          <w:p w14:paraId="3E0712EC" w14:textId="77777777" w:rsidR="00345EF4" w:rsidRPr="00345EF4" w:rsidRDefault="00345EF4" w:rsidP="00345EF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CONSISTENTE EN:</w:t>
            </w:r>
          </w:p>
        </w:tc>
        <w:tc>
          <w:tcPr>
            <w:tcW w:w="4252" w:type="dxa"/>
          </w:tcPr>
          <w:p w14:paraId="306DAE65" w14:textId="77777777" w:rsidR="00345EF4" w:rsidRPr="00345EF4" w:rsidRDefault="00345EF4" w:rsidP="00345EF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VALORACIÓN.</w:t>
            </w:r>
          </w:p>
        </w:tc>
      </w:tr>
      <w:tr w:rsidR="00345EF4" w:rsidRPr="00EC5583" w14:paraId="37BD8857" w14:textId="77777777" w:rsidTr="00345E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5" w:type="dxa"/>
            <w:shd w:val="clear" w:color="auto" w:fill="F2F2F2" w:themeFill="background1" w:themeFillShade="F2"/>
          </w:tcPr>
          <w:p w14:paraId="692E2C48" w14:textId="77777777" w:rsidR="00345EF4" w:rsidRPr="00345EF4" w:rsidRDefault="00345EF4" w:rsidP="004E6558">
            <w:pPr>
              <w:jc w:val="both"/>
              <w:rPr>
                <w:rFonts w:ascii="Arial" w:hAnsi="Arial" w:cs="Arial"/>
                <w:sz w:val="18"/>
                <w:szCs w:val="18"/>
              </w:rPr>
            </w:pPr>
            <w:r w:rsidRPr="00345EF4">
              <w:rPr>
                <w:rFonts w:ascii="Arial" w:hAnsi="Arial" w:cs="Arial"/>
                <w:sz w:val="18"/>
                <w:szCs w:val="18"/>
              </w:rPr>
              <w:t xml:space="preserve">Denunciante: </w:t>
            </w:r>
            <w:r w:rsidRPr="00345EF4">
              <w:rPr>
                <w:rFonts w:ascii="Arial" w:hAnsi="Arial" w:cs="Arial"/>
                <w:b w:val="0"/>
                <w:bCs w:val="0"/>
                <w:sz w:val="18"/>
                <w:szCs w:val="18"/>
              </w:rPr>
              <w:t>Partido Acción Nacional.</w:t>
            </w:r>
          </w:p>
        </w:tc>
        <w:tc>
          <w:tcPr>
            <w:tcW w:w="1383" w:type="dxa"/>
            <w:shd w:val="clear" w:color="auto" w:fill="F2F2F2" w:themeFill="background1" w:themeFillShade="F2"/>
          </w:tcPr>
          <w:p w14:paraId="2B65A7A4"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45EF4">
              <w:rPr>
                <w:rFonts w:ascii="Arial" w:hAnsi="Arial" w:cs="Arial"/>
                <w:b/>
                <w:bCs/>
                <w:sz w:val="18"/>
                <w:szCs w:val="18"/>
              </w:rPr>
              <w:t>Documental pública.</w:t>
            </w:r>
          </w:p>
        </w:tc>
        <w:tc>
          <w:tcPr>
            <w:tcW w:w="2835" w:type="dxa"/>
            <w:shd w:val="clear" w:color="auto" w:fill="F2F2F2" w:themeFill="background1" w:themeFillShade="F2"/>
          </w:tcPr>
          <w:p w14:paraId="75DCFE1D"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5EF4">
              <w:rPr>
                <w:rFonts w:ascii="Arial" w:hAnsi="Arial" w:cs="Arial"/>
                <w:sz w:val="18"/>
                <w:szCs w:val="18"/>
              </w:rPr>
              <w:t>“…diligencia de acta circunstanciada que deberá ser expedida con la finalidad de que dichas probanza de fe de todos y cada uno de los hechos descritos en la presente denuncia…” Copia certificada del acta de oficialía electoral IEE/OE/237/2021.</w:t>
            </w:r>
          </w:p>
        </w:tc>
        <w:tc>
          <w:tcPr>
            <w:tcW w:w="4252" w:type="dxa"/>
            <w:shd w:val="clear" w:color="auto" w:fill="F2F2F2" w:themeFill="background1" w:themeFillShade="F2"/>
          </w:tcPr>
          <w:p w14:paraId="3A0D9FF0"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5EF4">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345EF4" w:rsidRPr="00EC5583" w14:paraId="644DA7D7" w14:textId="77777777" w:rsidTr="00345EF4">
        <w:trPr>
          <w:jc w:val="center"/>
        </w:trPr>
        <w:tc>
          <w:tcPr>
            <w:cnfStyle w:val="001000000000" w:firstRow="0" w:lastRow="0" w:firstColumn="1" w:lastColumn="0" w:oddVBand="0" w:evenVBand="0" w:oddHBand="0" w:evenHBand="0" w:firstRowFirstColumn="0" w:firstRowLastColumn="0" w:lastRowFirstColumn="0" w:lastRowLastColumn="0"/>
            <w:tcW w:w="1595" w:type="dxa"/>
          </w:tcPr>
          <w:p w14:paraId="7D243663" w14:textId="77777777" w:rsidR="00345EF4" w:rsidRPr="00345EF4" w:rsidRDefault="00345EF4" w:rsidP="004E6558">
            <w:pPr>
              <w:jc w:val="both"/>
              <w:rPr>
                <w:rFonts w:ascii="Arial" w:hAnsi="Arial" w:cs="Arial"/>
                <w:sz w:val="18"/>
                <w:szCs w:val="18"/>
              </w:rPr>
            </w:pPr>
            <w:r w:rsidRPr="00345EF4">
              <w:rPr>
                <w:rFonts w:ascii="Arial" w:hAnsi="Arial" w:cs="Arial"/>
                <w:sz w:val="18"/>
                <w:szCs w:val="18"/>
              </w:rPr>
              <w:t xml:space="preserve">Denunciante: </w:t>
            </w:r>
            <w:r w:rsidRPr="00345EF4">
              <w:rPr>
                <w:rFonts w:ascii="Arial" w:hAnsi="Arial" w:cs="Arial"/>
                <w:b w:val="0"/>
                <w:bCs w:val="0"/>
                <w:sz w:val="18"/>
                <w:szCs w:val="18"/>
              </w:rPr>
              <w:t>Partido Acción Nacional.</w:t>
            </w:r>
          </w:p>
        </w:tc>
        <w:tc>
          <w:tcPr>
            <w:tcW w:w="1383" w:type="dxa"/>
          </w:tcPr>
          <w:p w14:paraId="71476A6C"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45EF4">
              <w:rPr>
                <w:rFonts w:ascii="Arial" w:hAnsi="Arial" w:cs="Arial"/>
                <w:b/>
                <w:bCs/>
                <w:sz w:val="18"/>
                <w:szCs w:val="18"/>
              </w:rPr>
              <w:t>Instrumental de actuaciones.</w:t>
            </w:r>
          </w:p>
        </w:tc>
        <w:tc>
          <w:tcPr>
            <w:tcW w:w="2835" w:type="dxa"/>
          </w:tcPr>
          <w:p w14:paraId="5BCAB82E"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“…todo lo que beneficie a las pretensiones de mi representado…”</w:t>
            </w:r>
          </w:p>
        </w:tc>
        <w:tc>
          <w:tcPr>
            <w:tcW w:w="4252" w:type="dxa"/>
          </w:tcPr>
          <w:p w14:paraId="0B089BCC"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45EF4" w:rsidRPr="00EC5583" w14:paraId="74E9D6D3" w14:textId="77777777" w:rsidTr="00345E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5" w:type="dxa"/>
            <w:shd w:val="clear" w:color="auto" w:fill="F2F2F2" w:themeFill="background1" w:themeFillShade="F2"/>
          </w:tcPr>
          <w:p w14:paraId="122CCEEE" w14:textId="77777777" w:rsidR="00345EF4" w:rsidRPr="00345EF4" w:rsidRDefault="00345EF4" w:rsidP="004E6558">
            <w:pPr>
              <w:jc w:val="both"/>
              <w:rPr>
                <w:rFonts w:ascii="Arial" w:hAnsi="Arial" w:cs="Arial"/>
                <w:sz w:val="18"/>
                <w:szCs w:val="18"/>
              </w:rPr>
            </w:pPr>
            <w:r w:rsidRPr="00345EF4">
              <w:rPr>
                <w:rFonts w:ascii="Arial" w:hAnsi="Arial" w:cs="Arial"/>
                <w:sz w:val="18"/>
                <w:szCs w:val="18"/>
              </w:rPr>
              <w:t xml:space="preserve">Denunciante: </w:t>
            </w:r>
            <w:r w:rsidRPr="00345EF4">
              <w:rPr>
                <w:rFonts w:ascii="Arial" w:hAnsi="Arial" w:cs="Arial"/>
                <w:b w:val="0"/>
                <w:bCs w:val="0"/>
                <w:sz w:val="18"/>
                <w:szCs w:val="18"/>
              </w:rPr>
              <w:t>Partido Acción Nacional.</w:t>
            </w:r>
          </w:p>
        </w:tc>
        <w:tc>
          <w:tcPr>
            <w:tcW w:w="1383" w:type="dxa"/>
            <w:shd w:val="clear" w:color="auto" w:fill="F2F2F2" w:themeFill="background1" w:themeFillShade="F2"/>
          </w:tcPr>
          <w:p w14:paraId="5C0B428C"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45EF4">
              <w:rPr>
                <w:rFonts w:ascii="Arial" w:hAnsi="Arial" w:cs="Arial"/>
                <w:b/>
                <w:bCs/>
                <w:sz w:val="18"/>
                <w:szCs w:val="18"/>
              </w:rPr>
              <w:t>Presuncional legal y humana.</w:t>
            </w:r>
          </w:p>
        </w:tc>
        <w:tc>
          <w:tcPr>
            <w:tcW w:w="2835" w:type="dxa"/>
            <w:shd w:val="clear" w:color="auto" w:fill="F2F2F2" w:themeFill="background1" w:themeFillShade="F2"/>
          </w:tcPr>
          <w:p w14:paraId="3704D6A4"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5EF4">
              <w:rPr>
                <w:rFonts w:ascii="Arial" w:hAnsi="Arial" w:cs="Arial"/>
                <w:sz w:val="18"/>
                <w:szCs w:val="18"/>
              </w:rPr>
              <w:t>“…en su triple aspecto Lógico, Legal y Humano en la medida que beneficien las pretensiones de mi representado…”</w:t>
            </w:r>
          </w:p>
        </w:tc>
        <w:tc>
          <w:tcPr>
            <w:tcW w:w="4252" w:type="dxa"/>
            <w:shd w:val="clear" w:color="auto" w:fill="F2F2F2" w:themeFill="background1" w:themeFillShade="F2"/>
          </w:tcPr>
          <w:p w14:paraId="4FAB2CFD"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5EF4">
              <w:rPr>
                <w:rFonts w:ascii="Arial" w:hAnsi="Arial" w:cs="Arial"/>
                <w:sz w:val="18"/>
                <w:szCs w:val="18"/>
              </w:rPr>
              <w:t xml:space="preserve">En relación con las pruebas ofrecidas como presuncional e instrumental de actuaciones, vale decir que las que se actualicen pueden ser apreciadas por esta instancia, con independencia de que sean o no ofrecidas por las partes, </w:t>
            </w:r>
            <w:r w:rsidRPr="00345EF4">
              <w:rPr>
                <w:rFonts w:ascii="Arial" w:hAnsi="Arial" w:cs="Arial"/>
                <w:sz w:val="18"/>
                <w:szCs w:val="18"/>
              </w:rPr>
              <w:lastRenderedPageBreak/>
              <w:t>conforme a lo dispuesto por el artículo 255, fracciones V y VI, del Código Electoral.</w:t>
            </w:r>
          </w:p>
        </w:tc>
      </w:tr>
      <w:tr w:rsidR="00345EF4" w:rsidRPr="00EC5583" w14:paraId="78B49957" w14:textId="77777777" w:rsidTr="00345EF4">
        <w:trPr>
          <w:jc w:val="center"/>
        </w:trPr>
        <w:tc>
          <w:tcPr>
            <w:cnfStyle w:val="001000000000" w:firstRow="0" w:lastRow="0" w:firstColumn="1" w:lastColumn="0" w:oddVBand="0" w:evenVBand="0" w:oddHBand="0" w:evenHBand="0" w:firstRowFirstColumn="0" w:firstRowLastColumn="0" w:lastRowFirstColumn="0" w:lastRowLastColumn="0"/>
            <w:tcW w:w="1595" w:type="dxa"/>
          </w:tcPr>
          <w:p w14:paraId="49E35297" w14:textId="77777777" w:rsidR="00345EF4" w:rsidRPr="00345EF4" w:rsidRDefault="00345EF4" w:rsidP="004E6558">
            <w:pPr>
              <w:jc w:val="both"/>
              <w:rPr>
                <w:rFonts w:ascii="Arial" w:hAnsi="Arial" w:cs="Arial"/>
                <w:sz w:val="18"/>
                <w:szCs w:val="18"/>
              </w:rPr>
            </w:pPr>
            <w:r w:rsidRPr="00345EF4">
              <w:rPr>
                <w:rFonts w:ascii="Arial" w:hAnsi="Arial" w:cs="Arial"/>
                <w:sz w:val="18"/>
                <w:szCs w:val="18"/>
              </w:rPr>
              <w:lastRenderedPageBreak/>
              <w:t xml:space="preserve">Denunciado: </w:t>
            </w:r>
            <w:r w:rsidRPr="00345EF4">
              <w:rPr>
                <w:rFonts w:ascii="Arial" w:hAnsi="Arial" w:cs="Arial"/>
                <w:b w:val="0"/>
                <w:bCs w:val="0"/>
                <w:sz w:val="18"/>
                <w:szCs w:val="18"/>
              </w:rPr>
              <w:t>C. Francisco Javier Rivera Luevano.</w:t>
            </w:r>
          </w:p>
        </w:tc>
        <w:tc>
          <w:tcPr>
            <w:tcW w:w="1383" w:type="dxa"/>
          </w:tcPr>
          <w:p w14:paraId="30E44119"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45EF4">
              <w:rPr>
                <w:rFonts w:ascii="Arial" w:hAnsi="Arial" w:cs="Arial"/>
                <w:b/>
                <w:bCs/>
                <w:sz w:val="18"/>
                <w:szCs w:val="18"/>
              </w:rPr>
              <w:t>Documental privada.</w:t>
            </w:r>
          </w:p>
        </w:tc>
        <w:tc>
          <w:tcPr>
            <w:tcW w:w="2835" w:type="dxa"/>
          </w:tcPr>
          <w:p w14:paraId="3FA2388B"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“…el formato de la autorización de colocación de mantas de fecha 03 de mayo de 2021…”</w:t>
            </w:r>
          </w:p>
        </w:tc>
        <w:tc>
          <w:tcPr>
            <w:tcW w:w="4252" w:type="dxa"/>
          </w:tcPr>
          <w:p w14:paraId="4D600BE1"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345EF4" w:rsidRPr="00EC5583" w14:paraId="29536247" w14:textId="77777777" w:rsidTr="00345E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5" w:type="dxa"/>
            <w:shd w:val="clear" w:color="auto" w:fill="F2F2F2" w:themeFill="background1" w:themeFillShade="F2"/>
          </w:tcPr>
          <w:p w14:paraId="436BA04E" w14:textId="77777777" w:rsidR="00345EF4" w:rsidRPr="00345EF4" w:rsidRDefault="00345EF4" w:rsidP="004E6558">
            <w:pPr>
              <w:jc w:val="both"/>
              <w:rPr>
                <w:rFonts w:ascii="Arial" w:hAnsi="Arial" w:cs="Arial"/>
                <w:sz w:val="18"/>
                <w:szCs w:val="18"/>
              </w:rPr>
            </w:pPr>
            <w:r w:rsidRPr="00345EF4">
              <w:rPr>
                <w:rFonts w:ascii="Arial" w:hAnsi="Arial" w:cs="Arial"/>
                <w:sz w:val="18"/>
                <w:szCs w:val="18"/>
              </w:rPr>
              <w:t xml:space="preserve">Denunciado: </w:t>
            </w:r>
            <w:r w:rsidRPr="00345EF4">
              <w:rPr>
                <w:rFonts w:ascii="Arial" w:hAnsi="Arial" w:cs="Arial"/>
                <w:b w:val="0"/>
                <w:bCs w:val="0"/>
                <w:sz w:val="18"/>
                <w:szCs w:val="18"/>
              </w:rPr>
              <w:t>C. Francisco Javier Rivera Luevano.</w:t>
            </w:r>
          </w:p>
        </w:tc>
        <w:tc>
          <w:tcPr>
            <w:tcW w:w="1383" w:type="dxa"/>
            <w:shd w:val="clear" w:color="auto" w:fill="F2F2F2" w:themeFill="background1" w:themeFillShade="F2"/>
          </w:tcPr>
          <w:p w14:paraId="12F1BA5D"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45EF4">
              <w:rPr>
                <w:rFonts w:ascii="Arial" w:hAnsi="Arial" w:cs="Arial"/>
                <w:b/>
                <w:bCs/>
                <w:sz w:val="18"/>
                <w:szCs w:val="18"/>
              </w:rPr>
              <w:t>Instrumental de actuaciones.</w:t>
            </w:r>
          </w:p>
        </w:tc>
        <w:tc>
          <w:tcPr>
            <w:tcW w:w="2835" w:type="dxa"/>
            <w:shd w:val="clear" w:color="auto" w:fill="F2F2F2" w:themeFill="background1" w:themeFillShade="F2"/>
          </w:tcPr>
          <w:p w14:paraId="5E873615"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5EF4">
              <w:rPr>
                <w:rFonts w:ascii="Arial" w:hAnsi="Arial" w:cs="Arial"/>
                <w:sz w:val="18"/>
                <w:szCs w:val="18"/>
              </w:rPr>
              <w:t>“…todo lo actuado del presente procedimiento…”</w:t>
            </w:r>
          </w:p>
        </w:tc>
        <w:tc>
          <w:tcPr>
            <w:tcW w:w="4252" w:type="dxa"/>
            <w:shd w:val="clear" w:color="auto" w:fill="F2F2F2" w:themeFill="background1" w:themeFillShade="F2"/>
          </w:tcPr>
          <w:p w14:paraId="0432BB98" w14:textId="77777777" w:rsidR="00345EF4" w:rsidRPr="00345EF4" w:rsidRDefault="00345EF4" w:rsidP="004E655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5EF4">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45EF4" w:rsidRPr="00EC5583" w14:paraId="47307AFD" w14:textId="77777777" w:rsidTr="00345EF4">
        <w:trPr>
          <w:jc w:val="center"/>
        </w:trPr>
        <w:tc>
          <w:tcPr>
            <w:cnfStyle w:val="001000000000" w:firstRow="0" w:lastRow="0" w:firstColumn="1" w:lastColumn="0" w:oddVBand="0" w:evenVBand="0" w:oddHBand="0" w:evenHBand="0" w:firstRowFirstColumn="0" w:firstRowLastColumn="0" w:lastRowFirstColumn="0" w:lastRowLastColumn="0"/>
            <w:tcW w:w="1595" w:type="dxa"/>
          </w:tcPr>
          <w:p w14:paraId="7EEE1023" w14:textId="77777777" w:rsidR="00345EF4" w:rsidRPr="00345EF4" w:rsidRDefault="00345EF4" w:rsidP="004E6558">
            <w:pPr>
              <w:jc w:val="both"/>
              <w:rPr>
                <w:rFonts w:ascii="Arial" w:hAnsi="Arial" w:cs="Arial"/>
                <w:sz w:val="18"/>
                <w:szCs w:val="18"/>
              </w:rPr>
            </w:pPr>
            <w:r w:rsidRPr="00345EF4">
              <w:rPr>
                <w:rFonts w:ascii="Arial" w:hAnsi="Arial" w:cs="Arial"/>
                <w:sz w:val="18"/>
                <w:szCs w:val="18"/>
              </w:rPr>
              <w:t xml:space="preserve">Denunciado: </w:t>
            </w:r>
            <w:r w:rsidRPr="00345EF4">
              <w:rPr>
                <w:rFonts w:ascii="Arial" w:hAnsi="Arial" w:cs="Arial"/>
                <w:b w:val="0"/>
                <w:bCs w:val="0"/>
                <w:sz w:val="18"/>
                <w:szCs w:val="18"/>
              </w:rPr>
              <w:t>C. Francisco Javier Rivera Luevano.</w:t>
            </w:r>
          </w:p>
        </w:tc>
        <w:tc>
          <w:tcPr>
            <w:tcW w:w="1383" w:type="dxa"/>
          </w:tcPr>
          <w:p w14:paraId="0DEE0076"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45EF4">
              <w:rPr>
                <w:rFonts w:ascii="Arial" w:hAnsi="Arial" w:cs="Arial"/>
                <w:b/>
                <w:bCs/>
                <w:sz w:val="18"/>
                <w:szCs w:val="18"/>
              </w:rPr>
              <w:t>Presuncional legal y humana.</w:t>
            </w:r>
          </w:p>
        </w:tc>
        <w:tc>
          <w:tcPr>
            <w:tcW w:w="2835" w:type="dxa"/>
          </w:tcPr>
          <w:p w14:paraId="7E945826"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“…en su triple aspecto lógico, legal y humano en todo lo que me beneficie…”</w:t>
            </w:r>
          </w:p>
        </w:tc>
        <w:tc>
          <w:tcPr>
            <w:tcW w:w="4252" w:type="dxa"/>
          </w:tcPr>
          <w:p w14:paraId="1C06AD3B" w14:textId="77777777" w:rsidR="00345EF4" w:rsidRPr="00345EF4" w:rsidRDefault="00345EF4" w:rsidP="004E655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45EF4">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2F9C5AB4" w14:textId="77777777" w:rsidR="00AF5CE0" w:rsidRPr="008114D0" w:rsidRDefault="00AF5CE0" w:rsidP="008114D0">
      <w:pPr>
        <w:spacing w:line="360" w:lineRule="auto"/>
        <w:jc w:val="right"/>
        <w:rPr>
          <w:rFonts w:ascii="Arial" w:hAnsi="Arial" w:cs="Arial"/>
          <w:sz w:val="22"/>
          <w:szCs w:val="22"/>
        </w:rPr>
      </w:pPr>
    </w:p>
    <w:p w14:paraId="07692011" w14:textId="77777777" w:rsidR="00722B62" w:rsidRDefault="00722B62" w:rsidP="008114D0">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1245968D" w14:textId="27E4965C" w:rsidR="003D56A4" w:rsidRPr="008114D0" w:rsidRDefault="005833F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bCs/>
          <w:sz w:val="22"/>
          <w:szCs w:val="22"/>
        </w:rPr>
        <w:t>8</w:t>
      </w:r>
      <w:r w:rsidR="005555E4" w:rsidRPr="008114D0">
        <w:rPr>
          <w:rFonts w:ascii="Arial" w:eastAsia="Arial Nova" w:hAnsi="Arial" w:cs="Arial"/>
          <w:b/>
          <w:bCs/>
          <w:sz w:val="22"/>
          <w:szCs w:val="22"/>
        </w:rPr>
        <w:t>.</w:t>
      </w:r>
      <w:r w:rsidR="005555E4" w:rsidRPr="008114D0">
        <w:rPr>
          <w:rFonts w:ascii="Arial" w:eastAsia="Arial Nova" w:hAnsi="Arial" w:cs="Arial"/>
          <w:sz w:val="22"/>
          <w:szCs w:val="22"/>
        </w:rPr>
        <w:t xml:space="preserve"> </w:t>
      </w:r>
      <w:r w:rsidR="003D56A4" w:rsidRPr="008114D0">
        <w:rPr>
          <w:rFonts w:ascii="Arial" w:eastAsia="Arial Nova" w:hAnsi="Arial" w:cs="Arial"/>
          <w:b/>
          <w:sz w:val="22"/>
          <w:szCs w:val="22"/>
        </w:rPr>
        <w:t>HECHOS ACREDITADOS</w:t>
      </w:r>
    </w:p>
    <w:p w14:paraId="6254E359" w14:textId="77777777" w:rsidR="00A433BF" w:rsidRPr="008114D0" w:rsidRDefault="00A433BF" w:rsidP="008114D0">
      <w:pPr>
        <w:pStyle w:val="Prrafodelista"/>
        <w:spacing w:line="360" w:lineRule="auto"/>
        <w:rPr>
          <w:rFonts w:ascii="Arial" w:eastAsia="Arial Nova" w:hAnsi="Arial" w:cs="Arial"/>
          <w:sz w:val="22"/>
          <w:szCs w:val="22"/>
        </w:rPr>
      </w:pPr>
    </w:p>
    <w:p w14:paraId="7A96D7FD"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107906AA"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12AD4BA9" w14:textId="77777777" w:rsidR="003D56A4" w:rsidRPr="008114D0" w:rsidRDefault="003D56A4" w:rsidP="008114D0">
      <w:pPr>
        <w:pStyle w:val="Prrafodelista"/>
        <w:spacing w:line="360" w:lineRule="auto"/>
        <w:rPr>
          <w:rFonts w:ascii="Arial" w:eastAsia="Arial Nova" w:hAnsi="Arial" w:cs="Arial"/>
          <w:sz w:val="22"/>
          <w:szCs w:val="22"/>
        </w:rPr>
      </w:pPr>
    </w:p>
    <w:p w14:paraId="73AF3E09" w14:textId="3C74752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.1. </w:t>
      </w:r>
      <w:r w:rsidR="003D56A4" w:rsidRPr="008114D0">
        <w:rPr>
          <w:rFonts w:ascii="Arial" w:hAnsi="Arial" w:cs="Arial"/>
          <w:b/>
          <w:bCs/>
          <w:sz w:val="22"/>
          <w:szCs w:val="22"/>
        </w:rPr>
        <w:t xml:space="preserve">Calidad </w:t>
      </w:r>
      <w:r w:rsidR="009354E5" w:rsidRPr="008114D0">
        <w:rPr>
          <w:rFonts w:ascii="Arial" w:hAnsi="Arial" w:cs="Arial"/>
          <w:b/>
          <w:bCs/>
          <w:sz w:val="22"/>
          <w:szCs w:val="22"/>
        </w:rPr>
        <w:t>de las partes</w:t>
      </w:r>
      <w:r w:rsidR="003D56A4" w:rsidRPr="008114D0">
        <w:rPr>
          <w:rFonts w:ascii="Arial" w:hAnsi="Arial" w:cs="Arial"/>
          <w:b/>
          <w:bCs/>
          <w:sz w:val="22"/>
          <w:szCs w:val="22"/>
        </w:rPr>
        <w:t>.</w:t>
      </w:r>
    </w:p>
    <w:p w14:paraId="27638C46" w14:textId="31090F01" w:rsidR="00A433BF" w:rsidRPr="008114D0" w:rsidRDefault="00A433BF" w:rsidP="008114D0">
      <w:pPr>
        <w:spacing w:line="360" w:lineRule="auto"/>
        <w:jc w:val="both"/>
        <w:rPr>
          <w:rFonts w:ascii="Arial" w:hAnsi="Arial" w:cs="Arial"/>
          <w:b/>
          <w:bCs/>
          <w:sz w:val="22"/>
          <w:szCs w:val="22"/>
          <w:highlight w:val="yellow"/>
        </w:rPr>
      </w:pPr>
    </w:p>
    <w:p w14:paraId="43916E55" w14:textId="7226A954" w:rsidR="00A433BF" w:rsidRPr="001D7982" w:rsidRDefault="003752F3" w:rsidP="008114D0">
      <w:pPr>
        <w:spacing w:line="360" w:lineRule="auto"/>
        <w:jc w:val="both"/>
        <w:rPr>
          <w:rFonts w:ascii="Arial" w:hAnsi="Arial" w:cs="Arial"/>
          <w:sz w:val="22"/>
          <w:szCs w:val="22"/>
        </w:rPr>
      </w:pPr>
      <w:r w:rsidRPr="008114D0">
        <w:rPr>
          <w:rFonts w:ascii="Arial" w:hAnsi="Arial" w:cs="Arial"/>
          <w:sz w:val="22"/>
          <w:szCs w:val="22"/>
        </w:rPr>
        <w:t>Este Tribunal Electoral advierte</w:t>
      </w:r>
      <w:r w:rsidR="00A433BF" w:rsidRPr="008114D0">
        <w:rPr>
          <w:rFonts w:ascii="Arial" w:hAnsi="Arial" w:cs="Arial"/>
          <w:sz w:val="22"/>
          <w:szCs w:val="22"/>
        </w:rPr>
        <w:t xml:space="preserve"> que</w:t>
      </w:r>
      <w:r w:rsidR="001D7982">
        <w:rPr>
          <w:rFonts w:ascii="Arial" w:hAnsi="Arial" w:cs="Arial"/>
          <w:sz w:val="22"/>
          <w:szCs w:val="22"/>
        </w:rPr>
        <w:t xml:space="preserve">: </w:t>
      </w:r>
      <w:r w:rsidR="001D7982" w:rsidRPr="001D7982">
        <w:rPr>
          <w:rFonts w:ascii="Arial" w:hAnsi="Arial" w:cs="Arial"/>
          <w:b/>
          <w:bCs/>
          <w:sz w:val="22"/>
          <w:szCs w:val="22"/>
        </w:rPr>
        <w:t>a)</w:t>
      </w:r>
      <w:r w:rsidR="001D7982">
        <w:rPr>
          <w:rFonts w:ascii="Arial" w:hAnsi="Arial" w:cs="Arial"/>
          <w:sz w:val="22"/>
          <w:szCs w:val="22"/>
        </w:rPr>
        <w:t xml:space="preserve"> </w:t>
      </w:r>
      <w:r w:rsidR="008C2DA6">
        <w:rPr>
          <w:rFonts w:ascii="Arial" w:hAnsi="Arial" w:cs="Arial"/>
          <w:sz w:val="22"/>
          <w:szCs w:val="22"/>
        </w:rPr>
        <w:t>el</w:t>
      </w:r>
      <w:r w:rsidR="009354E5" w:rsidRPr="008114D0">
        <w:rPr>
          <w:rFonts w:ascii="Arial" w:hAnsi="Arial" w:cs="Arial"/>
          <w:sz w:val="22"/>
          <w:szCs w:val="22"/>
        </w:rPr>
        <w:t xml:space="preserve"> denunciante,</w:t>
      </w:r>
      <w:r w:rsidR="00A433BF" w:rsidRPr="008114D0">
        <w:rPr>
          <w:rFonts w:ascii="Arial" w:hAnsi="Arial" w:cs="Arial"/>
          <w:sz w:val="22"/>
          <w:szCs w:val="22"/>
        </w:rPr>
        <w:t xml:space="preserve"> </w:t>
      </w:r>
      <w:r w:rsidR="0037055E" w:rsidRPr="008114D0">
        <w:rPr>
          <w:rFonts w:ascii="Arial" w:hAnsi="Arial" w:cs="Arial"/>
          <w:sz w:val="22"/>
          <w:szCs w:val="22"/>
        </w:rPr>
        <w:t xml:space="preserve">tiene la calidad de </w:t>
      </w:r>
      <w:r w:rsidR="00624EB7" w:rsidRPr="008114D0">
        <w:rPr>
          <w:rFonts w:ascii="Arial" w:hAnsi="Arial" w:cs="Arial"/>
          <w:sz w:val="22"/>
          <w:szCs w:val="22"/>
        </w:rPr>
        <w:t xml:space="preserve">representante </w:t>
      </w:r>
      <w:r w:rsidR="008C2DA6">
        <w:rPr>
          <w:rFonts w:ascii="Arial" w:hAnsi="Arial" w:cs="Arial"/>
          <w:sz w:val="22"/>
          <w:szCs w:val="22"/>
        </w:rPr>
        <w:t xml:space="preserve">suplente </w:t>
      </w:r>
      <w:r w:rsidR="002F2792">
        <w:rPr>
          <w:rFonts w:ascii="Arial" w:hAnsi="Arial" w:cs="Arial"/>
          <w:sz w:val="22"/>
          <w:szCs w:val="22"/>
        </w:rPr>
        <w:t>de</w:t>
      </w:r>
      <w:r w:rsidR="008C2DA6">
        <w:rPr>
          <w:rFonts w:ascii="Arial" w:hAnsi="Arial" w:cs="Arial"/>
          <w:sz w:val="22"/>
          <w:szCs w:val="22"/>
        </w:rPr>
        <w:t>l Partido Acción Nacional</w:t>
      </w:r>
      <w:r w:rsidR="002F2792">
        <w:rPr>
          <w:rFonts w:ascii="Arial" w:hAnsi="Arial" w:cs="Arial"/>
          <w:sz w:val="22"/>
          <w:szCs w:val="22"/>
        </w:rPr>
        <w:t xml:space="preserve"> ante el </w:t>
      </w:r>
      <w:r w:rsidR="00A85EED">
        <w:rPr>
          <w:rFonts w:ascii="Arial" w:hAnsi="Arial" w:cs="Arial"/>
          <w:sz w:val="22"/>
          <w:szCs w:val="22"/>
        </w:rPr>
        <w:t>Consejo Local del INE</w:t>
      </w:r>
      <w:r w:rsidR="001D7982">
        <w:rPr>
          <w:rFonts w:ascii="Arial" w:hAnsi="Arial" w:cs="Arial"/>
          <w:sz w:val="22"/>
          <w:szCs w:val="22"/>
        </w:rPr>
        <w:t xml:space="preserve">; y, </w:t>
      </w:r>
      <w:r w:rsidR="001D7982" w:rsidRPr="001D7982">
        <w:rPr>
          <w:rFonts w:ascii="Arial" w:hAnsi="Arial" w:cs="Arial"/>
          <w:b/>
          <w:bCs/>
          <w:sz w:val="22"/>
          <w:szCs w:val="22"/>
        </w:rPr>
        <w:t>b)</w:t>
      </w:r>
      <w:r w:rsidR="001D7982">
        <w:rPr>
          <w:rFonts w:ascii="Arial" w:hAnsi="Arial" w:cs="Arial"/>
          <w:sz w:val="22"/>
          <w:szCs w:val="22"/>
        </w:rPr>
        <w:t xml:space="preserve"> </w:t>
      </w:r>
      <w:r w:rsidR="00A85EED">
        <w:rPr>
          <w:rFonts w:ascii="Arial" w:hAnsi="Arial" w:cs="Arial"/>
          <w:sz w:val="22"/>
          <w:szCs w:val="22"/>
        </w:rPr>
        <w:t>el</w:t>
      </w:r>
      <w:r w:rsidR="001D7982">
        <w:rPr>
          <w:rFonts w:ascii="Arial" w:hAnsi="Arial" w:cs="Arial"/>
          <w:sz w:val="22"/>
          <w:szCs w:val="22"/>
        </w:rPr>
        <w:t xml:space="preserve"> </w:t>
      </w:r>
      <w:r w:rsidR="00624EB7" w:rsidRPr="008114D0">
        <w:rPr>
          <w:rFonts w:ascii="Arial" w:hAnsi="Arial" w:cs="Arial"/>
          <w:sz w:val="22"/>
          <w:szCs w:val="22"/>
        </w:rPr>
        <w:t>denunciad</w:t>
      </w:r>
      <w:r w:rsidR="00A85EED">
        <w:rPr>
          <w:rFonts w:ascii="Arial" w:hAnsi="Arial" w:cs="Arial"/>
          <w:sz w:val="22"/>
          <w:szCs w:val="22"/>
        </w:rPr>
        <w:t>o</w:t>
      </w:r>
      <w:r w:rsidR="002F2792">
        <w:rPr>
          <w:rFonts w:ascii="Arial" w:hAnsi="Arial" w:cs="Arial"/>
          <w:sz w:val="22"/>
          <w:szCs w:val="22"/>
        </w:rPr>
        <w:t xml:space="preserve">, </w:t>
      </w:r>
      <w:r w:rsidR="008C2DA6">
        <w:rPr>
          <w:rFonts w:ascii="Arial" w:hAnsi="Arial" w:cs="Arial"/>
          <w:sz w:val="22"/>
          <w:szCs w:val="22"/>
        </w:rPr>
        <w:t xml:space="preserve">se ostentó como </w:t>
      </w:r>
      <w:r w:rsidR="002F2792">
        <w:rPr>
          <w:rFonts w:ascii="Arial" w:hAnsi="Arial" w:cs="Arial"/>
          <w:sz w:val="22"/>
          <w:szCs w:val="22"/>
        </w:rPr>
        <w:t>candidat</w:t>
      </w:r>
      <w:r w:rsidR="00A85EED">
        <w:rPr>
          <w:rFonts w:ascii="Arial" w:hAnsi="Arial" w:cs="Arial"/>
          <w:sz w:val="22"/>
          <w:szCs w:val="22"/>
        </w:rPr>
        <w:t>o</w:t>
      </w:r>
      <w:r w:rsidR="008C2DA6">
        <w:rPr>
          <w:rFonts w:ascii="Arial" w:hAnsi="Arial" w:cs="Arial"/>
          <w:sz w:val="22"/>
          <w:szCs w:val="22"/>
        </w:rPr>
        <w:t xml:space="preserve"> a President</w:t>
      </w:r>
      <w:r w:rsidR="00A85EED">
        <w:rPr>
          <w:rFonts w:ascii="Arial" w:hAnsi="Arial" w:cs="Arial"/>
          <w:sz w:val="22"/>
          <w:szCs w:val="22"/>
        </w:rPr>
        <w:t>e</w:t>
      </w:r>
      <w:r w:rsidR="008C2DA6">
        <w:rPr>
          <w:rFonts w:ascii="Arial" w:hAnsi="Arial" w:cs="Arial"/>
          <w:sz w:val="22"/>
          <w:szCs w:val="22"/>
        </w:rPr>
        <w:t xml:space="preserve"> Municipal de </w:t>
      </w:r>
      <w:r w:rsidR="00A85EED">
        <w:rPr>
          <w:rFonts w:ascii="Arial" w:hAnsi="Arial" w:cs="Arial"/>
          <w:sz w:val="22"/>
          <w:szCs w:val="22"/>
        </w:rPr>
        <w:t>rincón de Romos</w:t>
      </w:r>
      <w:r w:rsidR="008C2DA6">
        <w:rPr>
          <w:rFonts w:ascii="Arial" w:hAnsi="Arial" w:cs="Arial"/>
          <w:sz w:val="22"/>
          <w:szCs w:val="22"/>
        </w:rPr>
        <w:t>, Aguascalientes, postulad</w:t>
      </w:r>
      <w:r w:rsidR="00A85EED">
        <w:rPr>
          <w:rFonts w:ascii="Arial" w:hAnsi="Arial" w:cs="Arial"/>
          <w:sz w:val="22"/>
          <w:szCs w:val="22"/>
        </w:rPr>
        <w:t>o</w:t>
      </w:r>
      <w:r w:rsidR="008C2DA6">
        <w:rPr>
          <w:rFonts w:ascii="Arial" w:hAnsi="Arial" w:cs="Arial"/>
          <w:sz w:val="22"/>
          <w:szCs w:val="22"/>
        </w:rPr>
        <w:t xml:space="preserve"> por </w:t>
      </w:r>
      <w:r w:rsidR="00A85EED">
        <w:rPr>
          <w:rFonts w:ascii="Arial" w:hAnsi="Arial" w:cs="Arial"/>
          <w:sz w:val="22"/>
          <w:szCs w:val="22"/>
        </w:rPr>
        <w:t>la Coalición que integran los partidos políticos Nueva Alianza, MORENA y Partido del Trabajo.</w:t>
      </w:r>
    </w:p>
    <w:p w14:paraId="65CD41FD" w14:textId="77777777" w:rsidR="001D7982" w:rsidRPr="008114D0" w:rsidRDefault="001D7982" w:rsidP="008114D0">
      <w:pPr>
        <w:spacing w:line="360" w:lineRule="auto"/>
        <w:jc w:val="both"/>
        <w:rPr>
          <w:rFonts w:ascii="Arial" w:hAnsi="Arial" w:cs="Arial"/>
          <w:b/>
          <w:bCs/>
          <w:sz w:val="22"/>
          <w:szCs w:val="22"/>
        </w:rPr>
      </w:pPr>
    </w:p>
    <w:p w14:paraId="41B21E35" w14:textId="268590A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.2. </w:t>
      </w:r>
      <w:r w:rsidR="003D56A4" w:rsidRPr="008114D0">
        <w:rPr>
          <w:rFonts w:ascii="Arial" w:hAnsi="Arial" w:cs="Arial"/>
          <w:b/>
          <w:bCs/>
          <w:sz w:val="22"/>
          <w:szCs w:val="22"/>
        </w:rPr>
        <w:t>Existencia del contenido denunciado.</w:t>
      </w:r>
    </w:p>
    <w:p w14:paraId="25491890" w14:textId="77777777" w:rsidR="00130C02" w:rsidRPr="008114D0" w:rsidRDefault="00130C02" w:rsidP="008114D0">
      <w:pPr>
        <w:spacing w:line="360" w:lineRule="auto"/>
        <w:jc w:val="both"/>
        <w:rPr>
          <w:rFonts w:ascii="Arial" w:hAnsi="Arial" w:cs="Arial"/>
          <w:bCs/>
          <w:sz w:val="22"/>
          <w:szCs w:val="22"/>
          <w:lang w:val="es-ES"/>
        </w:rPr>
      </w:pPr>
    </w:p>
    <w:p w14:paraId="0003DD1A" w14:textId="25B13613" w:rsidR="00130C02" w:rsidRPr="008114D0" w:rsidRDefault="00130C02" w:rsidP="008114D0">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6B5E4E2" w14:textId="77777777" w:rsidR="00E755EE" w:rsidRPr="008114D0" w:rsidRDefault="00E755EE" w:rsidP="008114D0">
      <w:pPr>
        <w:spacing w:line="360" w:lineRule="auto"/>
        <w:jc w:val="both"/>
        <w:rPr>
          <w:rFonts w:ascii="Arial" w:hAnsi="Arial" w:cs="Arial"/>
          <w:bCs/>
          <w:sz w:val="22"/>
          <w:szCs w:val="22"/>
          <w:lang w:val="es-ES"/>
        </w:rPr>
      </w:pPr>
    </w:p>
    <w:p w14:paraId="5A63653F" w14:textId="20A417D7" w:rsidR="007E6D4E" w:rsidRDefault="00A433BF" w:rsidP="008114D0">
      <w:pPr>
        <w:spacing w:line="360" w:lineRule="auto"/>
        <w:jc w:val="both"/>
        <w:rPr>
          <w:rFonts w:ascii="Arial" w:hAnsi="Arial" w:cs="Arial"/>
          <w:bCs/>
          <w:sz w:val="22"/>
          <w:szCs w:val="22"/>
          <w:lang w:val="es-ES"/>
        </w:rPr>
      </w:pPr>
      <w:r w:rsidRPr="008114D0">
        <w:rPr>
          <w:rFonts w:ascii="Arial" w:hAnsi="Arial" w:cs="Arial"/>
          <w:bCs/>
          <w:sz w:val="22"/>
          <w:szCs w:val="22"/>
          <w:lang w:val="es-ES"/>
        </w:rPr>
        <w:lastRenderedPageBreak/>
        <w:t>No obstante, esta autoridad jurisdiccional realiza una inspección del contenido</w:t>
      </w:r>
      <w:r w:rsidR="00B917FD" w:rsidRPr="008114D0">
        <w:rPr>
          <w:rFonts w:ascii="Arial" w:hAnsi="Arial" w:cs="Arial"/>
          <w:bCs/>
          <w:sz w:val="22"/>
          <w:szCs w:val="22"/>
          <w:lang w:val="es-ES"/>
        </w:rPr>
        <w:t xml:space="preserve"> certificado </w:t>
      </w:r>
      <w:r w:rsidR="00345EF4">
        <w:rPr>
          <w:rFonts w:ascii="Arial" w:hAnsi="Arial" w:cs="Arial"/>
          <w:bCs/>
          <w:sz w:val="22"/>
          <w:szCs w:val="22"/>
          <w:lang w:val="es-ES"/>
        </w:rPr>
        <w:t>la diligencia de Oficialía Electoral efectuada</w:t>
      </w:r>
      <w:r w:rsidR="00B917FD" w:rsidRPr="008114D0">
        <w:rPr>
          <w:rFonts w:ascii="Arial" w:hAnsi="Arial" w:cs="Arial"/>
          <w:bCs/>
          <w:sz w:val="22"/>
          <w:szCs w:val="22"/>
          <w:lang w:val="es-ES"/>
        </w:rPr>
        <w:t>,</w:t>
      </w:r>
      <w:r w:rsidRPr="008114D0">
        <w:rPr>
          <w:rFonts w:ascii="Arial" w:hAnsi="Arial" w:cs="Arial"/>
          <w:bCs/>
          <w:sz w:val="22"/>
          <w:szCs w:val="22"/>
          <w:lang w:val="es-ES"/>
        </w:rPr>
        <w:t xml:space="preserve"> con la finalidad de precisarl</w:t>
      </w:r>
      <w:r w:rsidR="00345EF4">
        <w:rPr>
          <w:rFonts w:ascii="Arial" w:hAnsi="Arial" w:cs="Arial"/>
          <w:bCs/>
          <w:sz w:val="22"/>
          <w:szCs w:val="22"/>
          <w:lang w:val="es-ES"/>
        </w:rPr>
        <w:t>a</w:t>
      </w:r>
      <w:r w:rsidRPr="008114D0">
        <w:rPr>
          <w:rFonts w:ascii="Arial" w:hAnsi="Arial" w:cs="Arial"/>
          <w:bCs/>
          <w:sz w:val="22"/>
          <w:szCs w:val="22"/>
          <w:lang w:val="es-ES"/>
        </w:rPr>
        <w:t xml:space="preserve">, establecer y analizar de manera integral las </w:t>
      </w:r>
      <w:r w:rsidR="00F9123B" w:rsidRPr="008114D0">
        <w:rPr>
          <w:rFonts w:ascii="Arial" w:hAnsi="Arial" w:cs="Arial"/>
          <w:bCs/>
          <w:sz w:val="22"/>
          <w:szCs w:val="22"/>
          <w:lang w:val="es-ES"/>
        </w:rPr>
        <w:t xml:space="preserve">acciones </w:t>
      </w:r>
      <w:r w:rsidRPr="008114D0">
        <w:rPr>
          <w:rFonts w:ascii="Arial" w:hAnsi="Arial" w:cs="Arial"/>
          <w:bCs/>
          <w:sz w:val="22"/>
          <w:szCs w:val="22"/>
          <w:lang w:val="es-ES"/>
        </w:rPr>
        <w:t>denunciadas.</w:t>
      </w:r>
    </w:p>
    <w:tbl>
      <w:tblPr>
        <w:tblStyle w:val="Tabladecuadrcula4"/>
        <w:tblW w:w="9639" w:type="dxa"/>
        <w:jc w:val="center"/>
        <w:tblLook w:val="04A0" w:firstRow="1" w:lastRow="0" w:firstColumn="1" w:lastColumn="0" w:noHBand="0" w:noVBand="1"/>
      </w:tblPr>
      <w:tblGrid>
        <w:gridCol w:w="9639"/>
      </w:tblGrid>
      <w:tr w:rsidR="00345EF4" w14:paraId="01F6F0DB" w14:textId="77777777" w:rsidTr="00345E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9" w:type="dxa"/>
          </w:tcPr>
          <w:p w14:paraId="4ED950A0" w14:textId="77777777" w:rsidR="00345EF4" w:rsidRPr="00345EF4" w:rsidRDefault="00345EF4" w:rsidP="004E6558">
            <w:pPr>
              <w:jc w:val="center"/>
              <w:rPr>
                <w:rFonts w:ascii="Arial" w:hAnsi="Arial" w:cs="Arial"/>
                <w:sz w:val="18"/>
                <w:szCs w:val="18"/>
              </w:rPr>
            </w:pPr>
            <w:r w:rsidRPr="00345EF4">
              <w:rPr>
                <w:rFonts w:ascii="Arial" w:hAnsi="Arial" w:cs="Arial"/>
                <w:sz w:val="18"/>
                <w:szCs w:val="18"/>
              </w:rPr>
              <w:t>Oficialía Electoral IEE/OE/216/2021.</w:t>
            </w:r>
          </w:p>
        </w:tc>
      </w:tr>
      <w:tr w:rsidR="00345EF4" w14:paraId="5C2CCCAC" w14:textId="77777777" w:rsidTr="00345E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000000" w:themeColor="text1"/>
            </w:tcBorders>
            <w:shd w:val="clear" w:color="auto" w:fill="F2F2F2" w:themeFill="background1" w:themeFillShade="F2"/>
          </w:tcPr>
          <w:p w14:paraId="7982B628" w14:textId="2288627D" w:rsidR="00345EF4" w:rsidRPr="00345EF4" w:rsidRDefault="00345EF4" w:rsidP="004E6558">
            <w:pPr>
              <w:jc w:val="both"/>
              <w:rPr>
                <w:rFonts w:ascii="Arial" w:hAnsi="Arial" w:cs="Arial"/>
                <w:b w:val="0"/>
                <w:bCs w:val="0"/>
                <w:sz w:val="18"/>
                <w:szCs w:val="18"/>
              </w:rPr>
            </w:pPr>
            <w:r w:rsidRPr="00345EF4">
              <w:rPr>
                <w:rFonts w:ascii="Arial" w:hAnsi="Arial" w:cs="Arial"/>
                <w:b w:val="0"/>
                <w:bCs w:val="0"/>
                <w:sz w:val="18"/>
                <w:szCs w:val="18"/>
              </w:rPr>
              <w:t>Siendo las doce horas con cinco minutos del veinte de junio de dos mil veintiuno, en la calle Edén esquina con la calle Miguel Hidalgo en la Zona centro del Municipio de Rincón de Romos, Aguascalientes, cerciorada de se el domicilio a certificar por así habérmelo referido el Licenciado Juan Bernardo Reyes Delgado, Secretario Técnico del Consejo Municipal Electoral de Rincón de Romos de este Instituto, mismo que habita en el Municipio de referencia, y quien se encontraba con la suscrita, quien me indicó que una de las calles donde nos encontrábamos era conocida como la calle Edén y la otra era conocida como la calle de nombre Miguel Hidalgo; así mismo dicha ubicación fue corroborada mediante la dirección electrónica denominada “Google Maps”, ya que dicho lugar carecía de nomenclatura oficial donde pudiera corroborarse la nomenclatura de las calles.</w:t>
            </w:r>
          </w:p>
          <w:p w14:paraId="26930A01" w14:textId="77777777" w:rsidR="00345EF4" w:rsidRPr="00345EF4" w:rsidRDefault="00345EF4" w:rsidP="004E6558">
            <w:pPr>
              <w:jc w:val="both"/>
              <w:rPr>
                <w:rFonts w:ascii="Arial" w:hAnsi="Arial" w:cs="Arial"/>
                <w:b w:val="0"/>
                <w:bCs w:val="0"/>
                <w:sz w:val="18"/>
                <w:szCs w:val="18"/>
              </w:rPr>
            </w:pPr>
          </w:p>
          <w:p w14:paraId="71F3A14D" w14:textId="77777777" w:rsidR="00345EF4" w:rsidRPr="00345EF4" w:rsidRDefault="00345EF4" w:rsidP="004E6558">
            <w:pPr>
              <w:jc w:val="both"/>
              <w:rPr>
                <w:rFonts w:ascii="Arial" w:hAnsi="Arial" w:cs="Arial"/>
                <w:b w:val="0"/>
                <w:bCs w:val="0"/>
                <w:sz w:val="18"/>
                <w:szCs w:val="18"/>
              </w:rPr>
            </w:pPr>
            <w:r w:rsidRPr="00345EF4">
              <w:rPr>
                <w:rFonts w:ascii="Arial" w:hAnsi="Arial" w:cs="Arial"/>
                <w:b w:val="0"/>
                <w:bCs w:val="0"/>
                <w:sz w:val="18"/>
                <w:szCs w:val="18"/>
              </w:rPr>
              <w:t>Observando en el lugar antes precisado un inmueble que no contaba con número visible, cuyas características coincidían plenamente con las del inmueble visible en la fotografía que se encuentra inserta en la denuncia que se adjunta al Memorando de referencia, y sobre la cual se encontraba colocada una lona con unas medidas aproximadas de tres punto cinco metros de ancho por ocho metros de largo, la cual era de fondo color blanco y contaba en su parte izquierda (viéndola de frente) con la fotografía de una persona aparentemente del género masculino y mayor de edad, quien usaba bigote y vestía una camisa de cuadros de color tinto con blanco, y a su costado fueron visibles las leyendas siguientes (de arriba hacia abajo): “JAVIER”, “RIVERA”, “PRESIDENTE MUNICIPAL”, “RINCÓN DE ROMOS” (dentro de una franja color tinto) seguido de los emblemas de los partidos políticos Nueva Alianza Aguascalientes, morena (acompañado de la leyenda “La esperanza de México”) y Partido del Trabajo.</w:t>
            </w:r>
          </w:p>
          <w:p w14:paraId="2A7FF81E" w14:textId="77777777" w:rsidR="00345EF4" w:rsidRPr="00345EF4" w:rsidRDefault="00345EF4" w:rsidP="004E6558">
            <w:pPr>
              <w:jc w:val="both"/>
              <w:rPr>
                <w:rFonts w:ascii="Arial" w:hAnsi="Arial" w:cs="Arial"/>
                <w:b w:val="0"/>
                <w:bCs w:val="0"/>
                <w:sz w:val="18"/>
                <w:szCs w:val="18"/>
              </w:rPr>
            </w:pPr>
          </w:p>
          <w:p w14:paraId="0A5E552B" w14:textId="77777777" w:rsidR="00345EF4" w:rsidRPr="00345EF4" w:rsidRDefault="00345EF4" w:rsidP="004E6558">
            <w:pPr>
              <w:jc w:val="both"/>
              <w:rPr>
                <w:rFonts w:ascii="Arial" w:hAnsi="Arial" w:cs="Arial"/>
                <w:b w:val="0"/>
                <w:bCs w:val="0"/>
                <w:sz w:val="18"/>
                <w:szCs w:val="18"/>
              </w:rPr>
            </w:pPr>
            <w:r w:rsidRPr="00345EF4">
              <w:rPr>
                <w:rFonts w:ascii="Arial" w:hAnsi="Arial" w:cs="Arial"/>
                <w:b w:val="0"/>
                <w:bCs w:val="0"/>
                <w:sz w:val="18"/>
                <w:szCs w:val="18"/>
              </w:rPr>
              <w:t>Finalmente, en el margen inferior de dicha lona, dentro de una franja color tinto, fue visible una imagen circular que en el centro contaba con la letra “f” seguido de la leyenda “JavierRiveraLuevano”, y posteriormente fue visible una imagen de forma cuadrada que contaba con un círculo en el centro seguido de la leyenda “Javier_riveralu19”, además, en la esquina inferior derecha de la misma fue visible una imagen de forma triangular conformada por tres flechas.</w:t>
            </w:r>
          </w:p>
          <w:p w14:paraId="5FF603EC" w14:textId="77777777" w:rsidR="00345EF4" w:rsidRPr="00345EF4" w:rsidRDefault="00345EF4" w:rsidP="004E6558">
            <w:pPr>
              <w:jc w:val="both"/>
              <w:rPr>
                <w:rFonts w:ascii="Arial" w:hAnsi="Arial" w:cs="Arial"/>
                <w:b w:val="0"/>
                <w:bCs w:val="0"/>
                <w:sz w:val="18"/>
                <w:szCs w:val="18"/>
              </w:rPr>
            </w:pPr>
          </w:p>
          <w:p w14:paraId="7C016280" w14:textId="77777777" w:rsidR="00345EF4" w:rsidRPr="00345EF4" w:rsidRDefault="00345EF4" w:rsidP="004E6558">
            <w:pPr>
              <w:jc w:val="both"/>
              <w:rPr>
                <w:rFonts w:ascii="Arial" w:hAnsi="Arial" w:cs="Arial"/>
                <w:sz w:val="18"/>
                <w:szCs w:val="18"/>
              </w:rPr>
            </w:pPr>
            <w:r w:rsidRPr="00345EF4">
              <w:rPr>
                <w:rFonts w:ascii="Arial" w:hAnsi="Arial" w:cs="Arial"/>
                <w:b w:val="0"/>
                <w:bCs w:val="0"/>
                <w:sz w:val="18"/>
                <w:szCs w:val="18"/>
              </w:rPr>
              <w:t>Todo lo anterior tal y como puede visualizarse en las fotografías que se adjuntan al ANEXO ÚNICO de la presente Acta.</w:t>
            </w:r>
          </w:p>
        </w:tc>
      </w:tr>
      <w:tr w:rsidR="00345EF4" w14:paraId="15712C36" w14:textId="77777777" w:rsidTr="00345EF4">
        <w:trPr>
          <w:jc w:val="center"/>
        </w:trPr>
        <w:tc>
          <w:tcPr>
            <w:cnfStyle w:val="001000000000" w:firstRow="0" w:lastRow="0" w:firstColumn="1" w:lastColumn="0" w:oddVBand="0" w:evenVBand="0" w:oddHBand="0" w:evenHBand="0" w:firstRowFirstColumn="0" w:firstRowLastColumn="0" w:lastRowFirstColumn="0" w:lastRowLastColumn="0"/>
            <w:tcW w:w="9639" w:type="dxa"/>
            <w:tcBorders>
              <w:bottom w:val="single" w:sz="4" w:space="0" w:color="auto"/>
            </w:tcBorders>
            <w:shd w:val="clear" w:color="auto" w:fill="F2F2F2" w:themeFill="background1" w:themeFillShade="F2"/>
          </w:tcPr>
          <w:p w14:paraId="3DB4CC35" w14:textId="77777777" w:rsidR="00345EF4" w:rsidRDefault="00345EF4" w:rsidP="004E6558">
            <w:pPr>
              <w:jc w:val="both"/>
              <w:rPr>
                <w:rFonts w:ascii="Arial" w:hAnsi="Arial" w:cs="Arial"/>
                <w:sz w:val="20"/>
                <w:szCs w:val="20"/>
              </w:rPr>
            </w:pPr>
            <w:r>
              <w:rPr>
                <w:rFonts w:ascii="Arial" w:hAnsi="Arial" w:cs="Arial"/>
                <w:b w:val="0"/>
                <w:bCs w:val="0"/>
                <w:sz w:val="20"/>
                <w:szCs w:val="20"/>
              </w:rPr>
              <w:t>Imágenes.</w:t>
            </w:r>
          </w:p>
          <w:p w14:paraId="5C0AF268" w14:textId="77777777" w:rsidR="00345EF4" w:rsidRDefault="00345EF4" w:rsidP="004E6558">
            <w:pPr>
              <w:jc w:val="center"/>
              <w:rPr>
                <w:rFonts w:ascii="Arial" w:hAnsi="Arial" w:cs="Arial"/>
                <w:sz w:val="20"/>
                <w:szCs w:val="20"/>
              </w:rPr>
            </w:pPr>
            <w:r>
              <w:rPr>
                <w:noProof/>
              </w:rPr>
              <w:drawing>
                <wp:inline distT="0" distB="0" distL="0" distR="0" wp14:anchorId="31B9CDB0" wp14:editId="4014AA03">
                  <wp:extent cx="2295525" cy="2438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53" t="18407" r="30245" b="4344"/>
                          <a:stretch/>
                        </pic:blipFill>
                        <pic:spPr bwMode="auto">
                          <a:xfrm>
                            <a:off x="0" y="0"/>
                            <a:ext cx="2295525" cy="2438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CAFD18" wp14:editId="4D5C70E9">
                  <wp:extent cx="2638425" cy="2219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37" t="15691" r="26850" b="14001"/>
                          <a:stretch/>
                        </pic:blipFill>
                        <pic:spPr bwMode="auto">
                          <a:xfrm>
                            <a:off x="0" y="0"/>
                            <a:ext cx="2638425" cy="2219325"/>
                          </a:xfrm>
                          <a:prstGeom prst="rect">
                            <a:avLst/>
                          </a:prstGeom>
                          <a:ln>
                            <a:noFill/>
                          </a:ln>
                          <a:extLst>
                            <a:ext uri="{53640926-AAD7-44D8-BBD7-CCE9431645EC}">
                              <a14:shadowObscured xmlns:a14="http://schemas.microsoft.com/office/drawing/2010/main"/>
                            </a:ext>
                          </a:extLst>
                        </pic:spPr>
                      </pic:pic>
                    </a:graphicData>
                  </a:graphic>
                </wp:inline>
              </w:drawing>
            </w:r>
          </w:p>
          <w:p w14:paraId="2B0261DD" w14:textId="77777777" w:rsidR="00345EF4" w:rsidRPr="009E4689" w:rsidRDefault="00345EF4" w:rsidP="004E6558">
            <w:pPr>
              <w:jc w:val="both"/>
              <w:rPr>
                <w:rFonts w:ascii="Arial" w:hAnsi="Arial" w:cs="Arial"/>
                <w:b w:val="0"/>
                <w:bCs w:val="0"/>
                <w:sz w:val="20"/>
                <w:szCs w:val="20"/>
              </w:rPr>
            </w:pPr>
          </w:p>
        </w:tc>
      </w:tr>
    </w:tbl>
    <w:p w14:paraId="7997C7CF" w14:textId="77777777" w:rsidR="00345EF4" w:rsidRDefault="00345EF4" w:rsidP="008114D0">
      <w:pPr>
        <w:spacing w:line="360" w:lineRule="auto"/>
        <w:jc w:val="both"/>
        <w:rPr>
          <w:rFonts w:ascii="Arial" w:hAnsi="Arial" w:cs="Arial"/>
          <w:bCs/>
          <w:sz w:val="22"/>
          <w:szCs w:val="22"/>
          <w:lang w:val="es-ES"/>
        </w:rPr>
      </w:pPr>
    </w:p>
    <w:p w14:paraId="50111335" w14:textId="77777777" w:rsidR="00722B62" w:rsidRDefault="00722B62"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4E5FF8F7" w14:textId="195AEBB4" w:rsidR="005833FF"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5B19C4BF" w14:textId="77777777" w:rsidR="002F2792" w:rsidRDefault="002F2792"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7D303E8C" w:rsidR="0078220C" w:rsidRPr="008114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Cs/>
          <w:sz w:val="22"/>
          <w:szCs w:val="22"/>
        </w:rPr>
        <w:t xml:space="preserve">Una vez acreditada la existencia del hecho denunciado, el aspecto a dilucidar en la presente sentencia consiste en determinar </w:t>
      </w:r>
      <w:r w:rsidR="0078220C" w:rsidRPr="008114D0">
        <w:rPr>
          <w:rFonts w:ascii="Arial" w:eastAsia="Arial Nova" w:hAnsi="Arial" w:cs="Arial"/>
          <w:bCs/>
          <w:sz w:val="22"/>
          <w:szCs w:val="22"/>
        </w:rPr>
        <w:t>lo siguiente:</w:t>
      </w:r>
    </w:p>
    <w:p w14:paraId="544FDC8E" w14:textId="77777777"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7C830D51" w14:textId="6F26BDAE" w:rsidR="00AF5CE0"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a</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w:t>
      </w:r>
      <w:r>
        <w:rPr>
          <w:rFonts w:ascii="Arial" w:eastAsia="Arial Nova" w:hAnsi="Arial" w:cs="Arial"/>
          <w:bCs/>
          <w:sz w:val="22"/>
          <w:szCs w:val="22"/>
        </w:rPr>
        <w:t xml:space="preserve">Si del </w:t>
      </w:r>
      <w:r w:rsidR="00AF5CE0" w:rsidRPr="0078220C">
        <w:rPr>
          <w:rFonts w:ascii="Arial" w:eastAsia="Arial Nova" w:hAnsi="Arial" w:cs="Arial"/>
          <w:bCs/>
          <w:sz w:val="22"/>
          <w:szCs w:val="22"/>
        </w:rPr>
        <w:t xml:space="preserve">análisis de </w:t>
      </w:r>
      <w:r w:rsidR="001D7982">
        <w:rPr>
          <w:rFonts w:ascii="Arial" w:eastAsia="Arial Nova" w:hAnsi="Arial" w:cs="Arial"/>
          <w:bCs/>
          <w:sz w:val="22"/>
          <w:szCs w:val="22"/>
        </w:rPr>
        <w:t>los</w:t>
      </w:r>
      <w:r w:rsidR="00AF5CE0" w:rsidRPr="0078220C">
        <w:rPr>
          <w:rFonts w:ascii="Arial" w:eastAsia="Arial Nova" w:hAnsi="Arial" w:cs="Arial"/>
          <w:bCs/>
          <w:sz w:val="22"/>
          <w:szCs w:val="22"/>
        </w:rPr>
        <w:t xml:space="preserve"> hechos acreditados</w:t>
      </w:r>
      <w:r w:rsidR="001D7982">
        <w:rPr>
          <w:rFonts w:ascii="Arial" w:eastAsia="Arial Nova" w:hAnsi="Arial" w:cs="Arial"/>
          <w:bCs/>
          <w:sz w:val="22"/>
          <w:szCs w:val="22"/>
        </w:rPr>
        <w:t>,</w:t>
      </w:r>
      <w:r w:rsidR="00AF5CE0" w:rsidRPr="0078220C">
        <w:rPr>
          <w:rFonts w:ascii="Arial" w:eastAsia="Arial Nova" w:hAnsi="Arial" w:cs="Arial"/>
          <w:bCs/>
          <w:sz w:val="22"/>
          <w:szCs w:val="22"/>
        </w:rPr>
        <w:t xml:space="preserve"> </w:t>
      </w:r>
      <w:r w:rsidR="001D7982">
        <w:rPr>
          <w:rFonts w:ascii="Arial" w:eastAsia="Arial Nova" w:hAnsi="Arial" w:cs="Arial"/>
          <w:bCs/>
          <w:sz w:val="22"/>
          <w:szCs w:val="22"/>
        </w:rPr>
        <w:t>se vulnera la normativa electoral</w:t>
      </w:r>
      <w:r w:rsidR="002F2792">
        <w:rPr>
          <w:rFonts w:ascii="Arial" w:eastAsia="Arial Nova" w:hAnsi="Arial" w:cs="Arial"/>
          <w:bCs/>
          <w:sz w:val="22"/>
          <w:szCs w:val="22"/>
        </w:rPr>
        <w:t>.</w:t>
      </w:r>
      <w:r w:rsidR="00AF5CE0" w:rsidRPr="0078220C">
        <w:rPr>
          <w:rFonts w:ascii="Arial" w:eastAsia="Arial Nova" w:hAnsi="Arial" w:cs="Arial"/>
          <w:bCs/>
          <w:sz w:val="22"/>
          <w:szCs w:val="22"/>
        </w:rPr>
        <w:t xml:space="preserve"> </w:t>
      </w:r>
    </w:p>
    <w:p w14:paraId="4AA2CFAA" w14:textId="0ACD6856" w:rsidR="00AF5CE0"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b</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En caso de ser procedente, se determinará la responsabilidad del presunto infractor; y </w:t>
      </w:r>
    </w:p>
    <w:p w14:paraId="630594AE" w14:textId="78457A80" w:rsidR="00AF5CE0"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c</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En caso de proceder, resolver sobre la calificación de la falta e individualización de la sanción.</w:t>
      </w:r>
    </w:p>
    <w:p w14:paraId="4D989E6A" w14:textId="0ABE2395" w:rsidR="001D7982" w:rsidRDefault="001D7982"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3B67D4C9" w14:textId="77777777" w:rsidR="00722B62" w:rsidRPr="00FA75EF" w:rsidRDefault="00722B62"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B9981E0" w14:textId="28C1463A" w:rsidR="003C57B8" w:rsidRPr="008114D0"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lastRenderedPageBreak/>
        <w:t>10</w:t>
      </w:r>
      <w:r w:rsidR="005555E4" w:rsidRPr="008114D0">
        <w:rPr>
          <w:rFonts w:ascii="Arial" w:eastAsia="Arial Nova" w:hAnsi="Arial" w:cs="Arial"/>
          <w:b/>
          <w:sz w:val="22"/>
          <w:szCs w:val="22"/>
        </w:rPr>
        <w:t xml:space="preserve">. </w:t>
      </w:r>
      <w:r w:rsidR="003C5204" w:rsidRPr="008114D0">
        <w:rPr>
          <w:rFonts w:ascii="Arial" w:eastAsia="Arial Nova" w:hAnsi="Arial" w:cs="Arial"/>
          <w:b/>
          <w:sz w:val="22"/>
          <w:szCs w:val="22"/>
        </w:rPr>
        <w:t xml:space="preserve"> </w:t>
      </w:r>
      <w:r w:rsidR="003C57B8" w:rsidRPr="008114D0">
        <w:rPr>
          <w:rFonts w:ascii="Arial" w:eastAsia="Arial Nova" w:hAnsi="Arial" w:cs="Arial"/>
          <w:b/>
          <w:sz w:val="22"/>
          <w:szCs w:val="22"/>
        </w:rPr>
        <w:t>ESTUDIO DE FONDO.</w:t>
      </w:r>
    </w:p>
    <w:p w14:paraId="796E033D" w14:textId="651D3D50" w:rsidR="006725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sidRPr="008114D0">
        <w:rPr>
          <w:rFonts w:ascii="Arial" w:eastAsia="Arial Nova" w:hAnsi="Arial" w:cs="Arial"/>
          <w:b/>
          <w:bCs/>
          <w:sz w:val="22"/>
          <w:szCs w:val="22"/>
        </w:rPr>
        <w:t>10.1</w:t>
      </w:r>
      <w:r w:rsidR="00885D6E" w:rsidRPr="008114D0">
        <w:rPr>
          <w:rFonts w:ascii="Arial" w:eastAsia="Arial Nova" w:hAnsi="Arial" w:cs="Arial"/>
          <w:b/>
          <w:bCs/>
          <w:sz w:val="22"/>
          <w:szCs w:val="22"/>
        </w:rPr>
        <w:t xml:space="preserve">. </w:t>
      </w:r>
      <w:r w:rsidR="00382681" w:rsidRPr="008114D0">
        <w:rPr>
          <w:rFonts w:ascii="Arial" w:eastAsia="Arial Nova" w:hAnsi="Arial" w:cs="Arial"/>
          <w:b/>
          <w:bCs/>
          <w:sz w:val="22"/>
          <w:szCs w:val="22"/>
        </w:rPr>
        <w:t>Planteamiento del caso.</w:t>
      </w:r>
    </w:p>
    <w:p w14:paraId="2DC6078C" w14:textId="77777777" w:rsidR="00174406" w:rsidRPr="008114D0" w:rsidRDefault="00174406" w:rsidP="008114D0">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70241557" w14:textId="114ADF7D" w:rsidR="00174406" w:rsidRDefault="00174406" w:rsidP="0017440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 xml:space="preserve">A continuación, este Tribunal procederá al estudio motivo de la queja en la que se analizará con base en los argumentos antes referidos, a determinar </w:t>
      </w:r>
      <w:r w:rsidR="008C2DA6">
        <w:rPr>
          <w:rFonts w:ascii="Arial" w:eastAsia="Arial Nova" w:hAnsi="Arial" w:cs="Arial"/>
          <w:sz w:val="22"/>
          <w:szCs w:val="22"/>
        </w:rPr>
        <w:t>si se actualiza o no la vulneración al periodo de veda electoral, en contravención con lo dispuesto en los artículos 41, base IV, de la Constitución Federal, en relación con el artículo 161 del Código Electoral, derivado de una publicación en las redes sociales de la denunciada.</w:t>
      </w:r>
    </w:p>
    <w:p w14:paraId="30904D77" w14:textId="77777777" w:rsidR="00722B62" w:rsidRDefault="00722B62" w:rsidP="00A152B7">
      <w:pPr>
        <w:spacing w:line="360" w:lineRule="auto"/>
        <w:jc w:val="both"/>
        <w:rPr>
          <w:rFonts w:ascii="Arial" w:hAnsi="Arial" w:cs="Arial"/>
          <w:b/>
          <w:bCs/>
          <w:sz w:val="22"/>
          <w:szCs w:val="22"/>
        </w:rPr>
      </w:pPr>
    </w:p>
    <w:p w14:paraId="3EF710C6" w14:textId="3A1AC8A6" w:rsidR="00A152B7" w:rsidRDefault="00A152B7" w:rsidP="00A152B7">
      <w:pPr>
        <w:spacing w:line="360" w:lineRule="auto"/>
        <w:jc w:val="both"/>
        <w:rPr>
          <w:rFonts w:ascii="Arial" w:hAnsi="Arial" w:cs="Arial"/>
          <w:b/>
          <w:bCs/>
          <w:sz w:val="22"/>
          <w:szCs w:val="22"/>
        </w:rPr>
      </w:pPr>
      <w:r w:rsidRPr="008114D0">
        <w:rPr>
          <w:rFonts w:ascii="Arial" w:hAnsi="Arial" w:cs="Arial"/>
          <w:b/>
          <w:bCs/>
          <w:sz w:val="22"/>
          <w:szCs w:val="22"/>
        </w:rPr>
        <w:t>10.</w:t>
      </w:r>
      <w:r w:rsidR="00345EF4">
        <w:rPr>
          <w:rFonts w:ascii="Arial" w:hAnsi="Arial" w:cs="Arial"/>
          <w:b/>
          <w:bCs/>
          <w:sz w:val="22"/>
          <w:szCs w:val="22"/>
        </w:rPr>
        <w:t>2</w:t>
      </w:r>
      <w:r w:rsidRPr="008114D0">
        <w:rPr>
          <w:rFonts w:ascii="Arial" w:hAnsi="Arial" w:cs="Arial"/>
          <w:b/>
          <w:bCs/>
          <w:sz w:val="22"/>
          <w:szCs w:val="22"/>
        </w:rPr>
        <w:t xml:space="preserve">. </w:t>
      </w:r>
      <w:r>
        <w:rPr>
          <w:rFonts w:ascii="Arial" w:hAnsi="Arial" w:cs="Arial"/>
          <w:b/>
          <w:bCs/>
          <w:sz w:val="22"/>
          <w:szCs w:val="22"/>
        </w:rPr>
        <w:t>Marco Jurídico</w:t>
      </w:r>
      <w:r w:rsidRPr="008114D0">
        <w:rPr>
          <w:rFonts w:ascii="Arial" w:hAnsi="Arial" w:cs="Arial"/>
          <w:b/>
          <w:bCs/>
          <w:sz w:val="22"/>
          <w:szCs w:val="22"/>
        </w:rPr>
        <w:t>.</w:t>
      </w:r>
    </w:p>
    <w:p w14:paraId="103F81F2" w14:textId="77777777" w:rsidR="00A152B7" w:rsidRDefault="00A152B7" w:rsidP="00A152B7">
      <w:pPr>
        <w:spacing w:line="360" w:lineRule="auto"/>
        <w:jc w:val="both"/>
        <w:rPr>
          <w:rFonts w:ascii="Arial" w:hAnsi="Arial" w:cs="Arial"/>
          <w:b/>
          <w:bCs/>
          <w:sz w:val="22"/>
          <w:szCs w:val="22"/>
        </w:rPr>
      </w:pPr>
    </w:p>
    <w:p w14:paraId="37BBF222" w14:textId="480EBDF0" w:rsidR="00A152B7" w:rsidRDefault="008C2DA6" w:rsidP="00174406">
      <w:pPr>
        <w:spacing w:line="360" w:lineRule="auto"/>
        <w:jc w:val="both"/>
        <w:rPr>
          <w:rFonts w:ascii="Arial" w:hAnsi="Arial" w:cs="Arial"/>
          <w:b/>
          <w:bCs/>
          <w:sz w:val="22"/>
          <w:szCs w:val="22"/>
        </w:rPr>
      </w:pPr>
      <w:r>
        <w:rPr>
          <w:rFonts w:ascii="Arial" w:hAnsi="Arial" w:cs="Arial"/>
          <w:b/>
          <w:bCs/>
          <w:sz w:val="22"/>
          <w:szCs w:val="22"/>
        </w:rPr>
        <w:t xml:space="preserve">Veda electoral o periodo de </w:t>
      </w:r>
      <w:r w:rsidR="00B76C30">
        <w:rPr>
          <w:rFonts w:ascii="Arial" w:hAnsi="Arial" w:cs="Arial"/>
          <w:b/>
          <w:bCs/>
          <w:sz w:val="22"/>
          <w:szCs w:val="22"/>
        </w:rPr>
        <w:t>reflexión</w:t>
      </w:r>
      <w:r w:rsidR="00A152B7">
        <w:rPr>
          <w:rFonts w:ascii="Arial" w:hAnsi="Arial" w:cs="Arial"/>
          <w:b/>
          <w:bCs/>
          <w:sz w:val="22"/>
          <w:szCs w:val="22"/>
        </w:rPr>
        <w:t>.</w:t>
      </w:r>
    </w:p>
    <w:p w14:paraId="442F3FE9" w14:textId="77F811B4" w:rsidR="00A152B7" w:rsidRDefault="00A152B7" w:rsidP="00174406">
      <w:pPr>
        <w:spacing w:line="360" w:lineRule="auto"/>
        <w:jc w:val="both"/>
        <w:rPr>
          <w:rFonts w:ascii="Arial" w:hAnsi="Arial" w:cs="Arial"/>
          <w:b/>
          <w:bCs/>
          <w:sz w:val="22"/>
          <w:szCs w:val="22"/>
        </w:rPr>
      </w:pPr>
    </w:p>
    <w:p w14:paraId="6E1699C6"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“Periodo de reflexión”. El artículo 242, párrafo 3, de la Ley General, señala que la propaganda electoral, son el conjunto de escritos, publicaciones, imágenes, grabaciones, proyecciones y expresiones que durante la campaña electoral producen y difunden los partidos políticos, las y los candidatos registrados y sus simpatizantes, con el propósito de presentar ante la ciudadanía las candidaturas registradas.</w:t>
      </w:r>
    </w:p>
    <w:p w14:paraId="741622E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10473239" w14:textId="43A493FB"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De esta manera, el precepto 242, párrafo 2, de la citada Ley General, entiende por actos de campaña las reuniones públicas, asambleas, marchas y en general </w:t>
      </w:r>
      <w:r w:rsidR="002D5592" w:rsidRPr="00B76C30">
        <w:rPr>
          <w:rFonts w:ascii="Arial" w:hAnsi="Arial" w:cs="Arial"/>
          <w:sz w:val="22"/>
          <w:szCs w:val="22"/>
        </w:rPr>
        <w:t>aquellos</w:t>
      </w:r>
      <w:r w:rsidRPr="00B76C30">
        <w:rPr>
          <w:rFonts w:ascii="Arial" w:hAnsi="Arial" w:cs="Arial"/>
          <w:sz w:val="22"/>
          <w:szCs w:val="22"/>
        </w:rPr>
        <w:t xml:space="preserve"> actos en que los candidatos o voceros de los partidos políticos se dirigen al electorado para promover sus candidaturas. </w:t>
      </w:r>
    </w:p>
    <w:p w14:paraId="165E70E1"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401D15B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En este tenor, </w:t>
      </w:r>
      <w:bookmarkStart w:id="4" w:name="_Hlk520793833"/>
      <w:r w:rsidRPr="00B76C30">
        <w:rPr>
          <w:rFonts w:ascii="Arial" w:hAnsi="Arial" w:cs="Arial"/>
          <w:sz w:val="22"/>
          <w:szCs w:val="22"/>
        </w:rPr>
        <w:t>el artículo 210, párrafo 1</w:t>
      </w:r>
      <w:bookmarkEnd w:id="4"/>
      <w:r w:rsidRPr="00B76C30">
        <w:rPr>
          <w:rFonts w:ascii="Arial" w:hAnsi="Arial" w:cs="Arial"/>
          <w:sz w:val="22"/>
          <w:szCs w:val="22"/>
        </w:rPr>
        <w:t xml:space="preserve">, de la Ley General, expresa </w:t>
      </w:r>
      <w:bookmarkStart w:id="5" w:name="_Hlk520793905"/>
      <w:r w:rsidRPr="00B76C30">
        <w:rPr>
          <w:rFonts w:ascii="Arial" w:hAnsi="Arial" w:cs="Arial"/>
          <w:sz w:val="22"/>
          <w:szCs w:val="22"/>
        </w:rPr>
        <w:t xml:space="preserve">que la distribución o colocación de la propaganda electoral deberá respetar los tiempos legales que se establezcan para cada caso, su retiro o fin de su distribución deberá efectuarse tres días antes de la jornada electoral. </w:t>
      </w:r>
    </w:p>
    <w:bookmarkEnd w:id="5"/>
    <w:p w14:paraId="36D80818"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18BB540B" w14:textId="6C8F8EBF"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Por otra parte, el precepto </w:t>
      </w:r>
      <w:bookmarkStart w:id="6" w:name="_Hlk520793849"/>
      <w:r w:rsidRPr="00B76C30">
        <w:rPr>
          <w:rFonts w:ascii="Arial" w:hAnsi="Arial" w:cs="Arial"/>
          <w:sz w:val="22"/>
          <w:szCs w:val="22"/>
        </w:rPr>
        <w:t>251, párrafo 4, de la L</w:t>
      </w:r>
      <w:r w:rsidR="002D5592">
        <w:rPr>
          <w:rFonts w:ascii="Arial" w:hAnsi="Arial" w:cs="Arial"/>
          <w:sz w:val="22"/>
          <w:szCs w:val="22"/>
        </w:rPr>
        <w:t>GIPE</w:t>
      </w:r>
      <w:r w:rsidR="002D5592" w:rsidRPr="00B76C30">
        <w:rPr>
          <w:rFonts w:ascii="Arial" w:hAnsi="Arial" w:cs="Arial"/>
          <w:sz w:val="22"/>
          <w:szCs w:val="22"/>
        </w:rPr>
        <w:t>,</w:t>
      </w:r>
      <w:r w:rsidRPr="00B76C30">
        <w:rPr>
          <w:rFonts w:ascii="Arial" w:hAnsi="Arial" w:cs="Arial"/>
          <w:sz w:val="22"/>
          <w:szCs w:val="22"/>
        </w:rPr>
        <w:t xml:space="preserve"> así como el 161 del Código Electoral</w:t>
      </w:r>
      <w:bookmarkEnd w:id="6"/>
      <w:r w:rsidRPr="00B76C30">
        <w:rPr>
          <w:rFonts w:ascii="Arial" w:hAnsi="Arial" w:cs="Arial"/>
          <w:sz w:val="22"/>
          <w:szCs w:val="22"/>
        </w:rPr>
        <w:t xml:space="preserve">, </w:t>
      </w:r>
      <w:bookmarkStart w:id="7" w:name="_Hlk520793933"/>
      <w:r w:rsidRPr="00B76C30">
        <w:rPr>
          <w:rFonts w:ascii="Arial" w:hAnsi="Arial" w:cs="Arial"/>
          <w:sz w:val="22"/>
          <w:szCs w:val="22"/>
        </w:rPr>
        <w:t xml:space="preserve">disponen que el día de la jornada electoral y durante los tres días anteriores, no se permitirá la celebración, ni la difusión de reuniones o actos públicos de campaña, de propaganda o de proselitismo electorales. </w:t>
      </w:r>
    </w:p>
    <w:p w14:paraId="6593DCD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748D3DA9" w14:textId="5AF976DD"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De ahí, que la interpretación sistemática y funcional de las anteriores disposiciones normativas, se entiende que el propósito de la </w:t>
      </w:r>
      <w:r w:rsidR="002D5592">
        <w:rPr>
          <w:rFonts w:ascii="Arial" w:hAnsi="Arial" w:cs="Arial"/>
          <w:sz w:val="22"/>
          <w:szCs w:val="22"/>
        </w:rPr>
        <w:t>LGIPE</w:t>
      </w:r>
      <w:r w:rsidRPr="00B76C30">
        <w:rPr>
          <w:rFonts w:ascii="Arial" w:hAnsi="Arial" w:cs="Arial"/>
          <w:sz w:val="22"/>
          <w:szCs w:val="22"/>
        </w:rPr>
        <w:t xml:space="preserve"> y del Código Electoral, sobre este tema, consiste en establecer una conclusión total al periodo de campaña electoral del proceso comicial, por tanto, ordena el retiro de la propaganda electoral y la celebración y difusión de actos de campaña, con la finalidad de generar en el electorado las condiciones necesarias para dar paso a un periodo de reflexión o veda electoral, a fin de emitir el voto libre y razonado que garantiza nuestra Constitución Federal.</w:t>
      </w:r>
    </w:p>
    <w:bookmarkEnd w:id="7"/>
    <w:p w14:paraId="698376C0"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02CC2E3D" w14:textId="2339EA74"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En efecto, este plazo intermedio que abarca desde el fin de la etapa de campaña al día de la jornada electoral, es denominado como “periodo de reflexión”, sobre el cual la Sala Superior se pronunció</w:t>
      </w:r>
      <w:r w:rsidRPr="00B76C30">
        <w:rPr>
          <w:rStyle w:val="Refdenotaalpie"/>
          <w:rFonts w:ascii="Arial" w:hAnsi="Arial" w:cs="Arial"/>
          <w:sz w:val="22"/>
          <w:szCs w:val="22"/>
        </w:rPr>
        <w:footnoteReference w:id="4"/>
      </w:r>
      <w:r w:rsidRPr="00B76C30">
        <w:rPr>
          <w:rFonts w:ascii="Arial" w:hAnsi="Arial" w:cs="Arial"/>
          <w:sz w:val="22"/>
          <w:szCs w:val="22"/>
        </w:rPr>
        <w:t xml:space="preserve"> en los siguientes términos: </w:t>
      </w:r>
    </w:p>
    <w:p w14:paraId="7FE420D4" w14:textId="77777777"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504EDFA8"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“El código sustantivo electoral dispone que el día de la jornada electoral y durante los tres días anteriores, no se permitirá la celebración ni la difusión de reuniones o actos públicos de campaña, de propaganda o de proselitismo electorales. </w:t>
      </w:r>
    </w:p>
    <w:p w14:paraId="7CE703CC"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p>
    <w:p w14:paraId="4589AC29"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Ahora bien, el objeto de esta restricción radica en garantizar que tanto el día de la jornada electoral y durante los tres días anteriores: </w:t>
      </w:r>
    </w:p>
    <w:p w14:paraId="4D9E6EE5"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Los ciudadanos puedan reflexionar o madurar el sentido de su voto, esto es, que tengan la posibilidad de ponderar y confrontar la oferta política de quienes intervienen como candidatos a un cargo público. </w:t>
      </w:r>
    </w:p>
    <w:p w14:paraId="52112467"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encuentren ajenos al acoso de las reuniones públicas, asambleas, marchas, escritos, publicaciones, imágenes, grabaciones, proyecciones y expresiones de los partidos políticos o de sus candidatos. </w:t>
      </w:r>
    </w:p>
    <w:p w14:paraId="76AE5BC1"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liberen del influjo de factores que pudieran alterar la autenticidad del sufragio. </w:t>
      </w:r>
    </w:p>
    <w:p w14:paraId="1A03013D"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garantice la conclusión a todo debate público, para impedir una influencia indebida en la toma de decisión que precede al ejercicio del sufragio de los electores. </w:t>
      </w:r>
    </w:p>
    <w:p w14:paraId="00533A09"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finalice la exposición, desarrollo y discusión ante el electorado de los programas y acciones fijados por los partidos políticos, a través de sus documentos básicos y, particularmente, en la plataforma electoral que para la elección se hubiere registrado. </w:t>
      </w:r>
    </w:p>
    <w:p w14:paraId="13E61994"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evite el quebrantamiento de las condiciones elementales de igualdad durante la contienda electoral, en beneficio de la autenticidad y libertad de sufragio de los electores. </w:t>
      </w:r>
    </w:p>
    <w:p w14:paraId="7D6FFFFB"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En suma, la prohibición normativa en el periodo de tres días previa a la jornada electoral radica en permitir a los ciudadanos que reflexionen libremente sobre las propuestas electorales, justificándose que en este periodo se intensifique en el cuidado de no confundir al ciudadano en la definición del sentido de su voto. </w:t>
      </w:r>
    </w:p>
    <w:p w14:paraId="4CBC37C0"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Lo anterior, tiende a impedir una influencia indebida en la toma de decisión que precede al ejercicio del sufragio de los electores; además, de esta forma se evita el quebrantamiento de las condiciones elementales de igualdad durante la contienda electoral en beneficio de la libertad y autenticidad de sufragio de los electores.”</w:t>
      </w:r>
    </w:p>
    <w:p w14:paraId="4F2212D6" w14:textId="693971E8"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202B08E4" w14:textId="77777777" w:rsidR="00B76C30" w:rsidRPr="00B76C30" w:rsidRDefault="00B76C30" w:rsidP="00B76C30">
      <w:pPr>
        <w:pStyle w:val="NormalWeb"/>
        <w:spacing w:line="360" w:lineRule="auto"/>
        <w:contextualSpacing/>
        <w:jc w:val="both"/>
        <w:rPr>
          <w:rFonts w:ascii="Arial" w:hAnsi="Arial" w:cs="Arial"/>
          <w:sz w:val="22"/>
          <w:szCs w:val="22"/>
        </w:rPr>
      </w:pPr>
      <w:r w:rsidRPr="00B76C30">
        <w:rPr>
          <w:rFonts w:ascii="Arial" w:hAnsi="Arial" w:cs="Arial"/>
          <w:sz w:val="22"/>
          <w:szCs w:val="22"/>
        </w:rPr>
        <w:t xml:space="preserve">En este sentido, el “periodo de reflexión” abarca los tres días inmediatos previos a la jornada electoral, esto es veintiocho, veintinueve y treinta de junio, el último día de la etapa de campaña del actual proceso comicial fue el veintisiete de junio. </w:t>
      </w:r>
    </w:p>
    <w:p w14:paraId="2E00CE53" w14:textId="77777777" w:rsidR="00B76C30" w:rsidRPr="00B76C30" w:rsidRDefault="00B76C30" w:rsidP="00B76C30">
      <w:pPr>
        <w:pStyle w:val="NormalWeb"/>
        <w:spacing w:line="360" w:lineRule="auto"/>
        <w:contextualSpacing/>
        <w:jc w:val="both"/>
        <w:rPr>
          <w:rFonts w:ascii="Arial" w:hAnsi="Arial" w:cs="Arial"/>
          <w:sz w:val="22"/>
          <w:szCs w:val="22"/>
        </w:rPr>
      </w:pPr>
    </w:p>
    <w:p w14:paraId="1D0103C8" w14:textId="00BB0053" w:rsidR="00B76C30" w:rsidRPr="00B76C30" w:rsidRDefault="00B76C30" w:rsidP="00A85EED">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Por consecuencia, la regulación de ese plazo, tiene como finalidad que la ciudadanía cuente con un periodo de reflexión del voto, para poder valorar las diversas propuestas de los candidatos y partidos políticos, sin la influencia, por medio de propaganda electoral difundida por éstos; es decir que ese periodo se vea enmarcado por una ausencia absoluta de propaganda, a fin de que el electorado tome su decisión, en un ejercicio de ponderación neutral de la oferta político electoral.</w:t>
      </w:r>
    </w:p>
    <w:p w14:paraId="4AFAD68A" w14:textId="75270D41" w:rsidR="00B76C30" w:rsidRDefault="00B76C30" w:rsidP="00B76C30">
      <w:pPr>
        <w:spacing w:line="360" w:lineRule="auto"/>
        <w:jc w:val="both"/>
        <w:rPr>
          <w:rFonts w:ascii="Arial" w:hAnsi="Arial" w:cs="Arial"/>
          <w:sz w:val="24"/>
          <w:szCs w:val="24"/>
        </w:rPr>
      </w:pPr>
    </w:p>
    <w:p w14:paraId="7634770A" w14:textId="37D75AEB" w:rsidR="00B76C30" w:rsidRPr="00051001" w:rsidRDefault="00345EF4" w:rsidP="00B76C30">
      <w:pPr>
        <w:spacing w:line="360" w:lineRule="auto"/>
        <w:jc w:val="both"/>
        <w:rPr>
          <w:rFonts w:ascii="Arial" w:hAnsi="Arial" w:cs="Arial"/>
          <w:b/>
          <w:bCs/>
          <w:sz w:val="22"/>
          <w:szCs w:val="22"/>
        </w:rPr>
      </w:pPr>
      <w:r>
        <w:rPr>
          <w:rFonts w:ascii="Arial" w:hAnsi="Arial" w:cs="Arial"/>
          <w:b/>
          <w:bCs/>
          <w:sz w:val="22"/>
          <w:szCs w:val="22"/>
        </w:rPr>
        <w:t xml:space="preserve">10.3 </w:t>
      </w:r>
      <w:r w:rsidR="00B76C30" w:rsidRPr="00051001">
        <w:rPr>
          <w:rFonts w:ascii="Arial" w:hAnsi="Arial" w:cs="Arial"/>
          <w:b/>
          <w:bCs/>
          <w:sz w:val="22"/>
          <w:szCs w:val="22"/>
        </w:rPr>
        <w:t>Caso particular.</w:t>
      </w:r>
    </w:p>
    <w:p w14:paraId="1A41DBC9" w14:textId="6B997965" w:rsidR="00B76C30" w:rsidRDefault="00B76C30" w:rsidP="00B76C30">
      <w:pPr>
        <w:spacing w:line="360" w:lineRule="auto"/>
        <w:jc w:val="both"/>
        <w:rPr>
          <w:rFonts w:ascii="Arial" w:hAnsi="Arial" w:cs="Arial"/>
          <w:sz w:val="24"/>
          <w:szCs w:val="24"/>
        </w:rPr>
      </w:pPr>
    </w:p>
    <w:p w14:paraId="79D30D8D" w14:textId="6EBDAD50" w:rsidR="00B76C30" w:rsidRPr="00051001" w:rsidRDefault="00B76C30" w:rsidP="00B76C30">
      <w:pPr>
        <w:spacing w:line="360" w:lineRule="auto"/>
        <w:jc w:val="both"/>
        <w:rPr>
          <w:rFonts w:ascii="Arial" w:hAnsi="Arial" w:cs="Arial"/>
          <w:sz w:val="22"/>
          <w:szCs w:val="22"/>
        </w:rPr>
      </w:pPr>
      <w:r w:rsidRPr="00051001">
        <w:rPr>
          <w:rFonts w:ascii="Arial" w:hAnsi="Arial" w:cs="Arial"/>
          <w:sz w:val="22"/>
          <w:szCs w:val="22"/>
        </w:rPr>
        <w:t xml:space="preserve">El Partido Acción Nacional, acusa de manera directa </w:t>
      </w:r>
      <w:r w:rsidR="00991B72">
        <w:rPr>
          <w:rFonts w:ascii="Arial" w:hAnsi="Arial" w:cs="Arial"/>
          <w:sz w:val="22"/>
          <w:szCs w:val="22"/>
        </w:rPr>
        <w:t>al denunciado</w:t>
      </w:r>
      <w:r w:rsidRPr="00051001">
        <w:rPr>
          <w:rFonts w:ascii="Arial" w:hAnsi="Arial" w:cs="Arial"/>
          <w:sz w:val="22"/>
          <w:szCs w:val="22"/>
        </w:rPr>
        <w:t xml:space="preserve"> con motivo de la </w:t>
      </w:r>
      <w:r w:rsidR="00991B72">
        <w:rPr>
          <w:rFonts w:ascii="Arial" w:hAnsi="Arial" w:cs="Arial"/>
          <w:sz w:val="22"/>
          <w:szCs w:val="22"/>
        </w:rPr>
        <w:t>colocación</w:t>
      </w:r>
      <w:r w:rsidRPr="00051001">
        <w:rPr>
          <w:rFonts w:ascii="Arial" w:hAnsi="Arial" w:cs="Arial"/>
          <w:sz w:val="22"/>
          <w:szCs w:val="22"/>
        </w:rPr>
        <w:t xml:space="preserve"> de una </w:t>
      </w:r>
      <w:r w:rsidR="00991B72">
        <w:rPr>
          <w:rFonts w:ascii="Arial" w:hAnsi="Arial" w:cs="Arial"/>
          <w:sz w:val="22"/>
          <w:szCs w:val="22"/>
        </w:rPr>
        <w:t>lona tipo espectacular,</w:t>
      </w:r>
      <w:r w:rsidRPr="00051001">
        <w:rPr>
          <w:rFonts w:ascii="Arial" w:hAnsi="Arial" w:cs="Arial"/>
          <w:sz w:val="22"/>
          <w:szCs w:val="22"/>
        </w:rPr>
        <w:t xml:space="preserve"> en época de veda electoral</w:t>
      </w:r>
      <w:r w:rsidR="00051001" w:rsidRPr="00051001">
        <w:rPr>
          <w:rFonts w:ascii="Arial" w:hAnsi="Arial" w:cs="Arial"/>
          <w:sz w:val="22"/>
          <w:szCs w:val="22"/>
        </w:rPr>
        <w:t xml:space="preserve">; por tanto, a continuación, se efectuará un análisis para determinar si se acredita la infracción apuntada en razón de que </w:t>
      </w:r>
      <w:r w:rsidR="00991B72">
        <w:rPr>
          <w:rFonts w:ascii="Arial" w:hAnsi="Arial" w:cs="Arial"/>
          <w:sz w:val="22"/>
          <w:szCs w:val="22"/>
        </w:rPr>
        <w:t>la publicidad fijada en un domicilio particular</w:t>
      </w:r>
      <w:r w:rsidR="00051001" w:rsidRPr="00051001">
        <w:rPr>
          <w:rFonts w:ascii="Arial" w:hAnsi="Arial" w:cs="Arial"/>
          <w:sz w:val="22"/>
          <w:szCs w:val="22"/>
        </w:rPr>
        <w:t>, constituye propaganda electoral</w:t>
      </w:r>
      <w:r w:rsidR="00991B72">
        <w:rPr>
          <w:rFonts w:ascii="Arial" w:hAnsi="Arial" w:cs="Arial"/>
          <w:sz w:val="22"/>
          <w:szCs w:val="22"/>
        </w:rPr>
        <w:t>,</w:t>
      </w:r>
      <w:r w:rsidR="00051001" w:rsidRPr="00051001">
        <w:rPr>
          <w:rFonts w:ascii="Arial" w:hAnsi="Arial" w:cs="Arial"/>
          <w:sz w:val="22"/>
          <w:szCs w:val="22"/>
        </w:rPr>
        <w:t xml:space="preserve"> la cual está prohibida en el periodo de veda. </w:t>
      </w:r>
    </w:p>
    <w:p w14:paraId="7C4693C0" w14:textId="3A9F20F7" w:rsidR="00051001" w:rsidRPr="00051001" w:rsidRDefault="00051001" w:rsidP="00B76C30">
      <w:pPr>
        <w:spacing w:line="360" w:lineRule="auto"/>
        <w:jc w:val="both"/>
        <w:rPr>
          <w:rFonts w:ascii="Arial" w:hAnsi="Arial" w:cs="Arial"/>
          <w:sz w:val="22"/>
          <w:szCs w:val="22"/>
        </w:rPr>
      </w:pPr>
    </w:p>
    <w:p w14:paraId="5BAC6AD9" w14:textId="18DD454E" w:rsidR="00B95F0B" w:rsidRDefault="00B95F0B" w:rsidP="00B76C30">
      <w:pPr>
        <w:spacing w:line="360" w:lineRule="auto"/>
        <w:jc w:val="both"/>
        <w:rPr>
          <w:rFonts w:ascii="Arial" w:hAnsi="Arial" w:cs="Arial"/>
          <w:sz w:val="22"/>
          <w:szCs w:val="22"/>
        </w:rPr>
      </w:pPr>
      <w:r>
        <w:rPr>
          <w:rFonts w:ascii="Arial" w:hAnsi="Arial" w:cs="Arial"/>
          <w:sz w:val="22"/>
          <w:szCs w:val="22"/>
        </w:rPr>
        <w:t>En esta tesitura, el denunciante apunta que el tres de junio -</w:t>
      </w:r>
      <w:r w:rsidRPr="00B95F0B">
        <w:rPr>
          <w:rFonts w:ascii="Arial" w:hAnsi="Arial" w:cs="Arial"/>
          <w:i/>
          <w:iCs/>
          <w:sz w:val="22"/>
          <w:szCs w:val="22"/>
        </w:rPr>
        <w:t>periodo de reflexión</w:t>
      </w:r>
      <w:r>
        <w:rPr>
          <w:rFonts w:ascii="Arial" w:hAnsi="Arial" w:cs="Arial"/>
          <w:sz w:val="22"/>
          <w:szCs w:val="22"/>
        </w:rPr>
        <w:t>- se percató de la existencia de un espectacular que hace alusión al denunciado, y además afirmó que esta publicidad fue colocada dentro del periodo de veda electoral, lo que resulta ser una clara transgresión a los principios de legalidad y equidad en la contienda.</w:t>
      </w:r>
    </w:p>
    <w:p w14:paraId="1267AA73" w14:textId="77777777" w:rsidR="00B95F0B" w:rsidRDefault="00B95F0B" w:rsidP="00B76C30">
      <w:pPr>
        <w:spacing w:line="360" w:lineRule="auto"/>
        <w:jc w:val="both"/>
        <w:rPr>
          <w:rFonts w:ascii="Arial" w:hAnsi="Arial" w:cs="Arial"/>
          <w:sz w:val="22"/>
          <w:szCs w:val="22"/>
        </w:rPr>
      </w:pPr>
    </w:p>
    <w:p w14:paraId="65F0E9DA" w14:textId="580BFA7C" w:rsidR="00B95F0B" w:rsidRDefault="00B95F0B" w:rsidP="00B76C30">
      <w:pPr>
        <w:spacing w:line="360" w:lineRule="auto"/>
        <w:jc w:val="both"/>
        <w:rPr>
          <w:rFonts w:ascii="Arial" w:hAnsi="Arial" w:cs="Arial"/>
          <w:sz w:val="22"/>
          <w:szCs w:val="22"/>
        </w:rPr>
      </w:pPr>
      <w:r>
        <w:rPr>
          <w:rFonts w:ascii="Arial" w:hAnsi="Arial" w:cs="Arial"/>
          <w:sz w:val="22"/>
          <w:szCs w:val="22"/>
        </w:rPr>
        <w:t>Luego, e</w:t>
      </w:r>
      <w:r w:rsidR="00051001" w:rsidRPr="00051001">
        <w:rPr>
          <w:rFonts w:ascii="Arial" w:hAnsi="Arial" w:cs="Arial"/>
          <w:sz w:val="22"/>
          <w:szCs w:val="22"/>
        </w:rPr>
        <w:t>n el escrito de contestación, la parte denunciada asintió que</w:t>
      </w:r>
      <w:r w:rsidR="00991B72">
        <w:rPr>
          <w:rFonts w:ascii="Arial" w:hAnsi="Arial" w:cs="Arial"/>
          <w:sz w:val="22"/>
          <w:szCs w:val="22"/>
        </w:rPr>
        <w:t xml:space="preserve"> la lona </w:t>
      </w:r>
      <w:r>
        <w:rPr>
          <w:rFonts w:ascii="Arial" w:hAnsi="Arial" w:cs="Arial"/>
          <w:sz w:val="22"/>
          <w:szCs w:val="22"/>
        </w:rPr>
        <w:t>controvertida era parte de la publicidad que difundió, y que esta fue efectivamente instalada con el consentimiento pleno del propietario del inmueble desde el tres de mayo; por lo que indica que quien denuncia, incurre en falsedades.</w:t>
      </w:r>
    </w:p>
    <w:p w14:paraId="7C672293" w14:textId="77777777" w:rsidR="00B95F0B" w:rsidRDefault="00B95F0B" w:rsidP="00B76C30">
      <w:pPr>
        <w:spacing w:line="360" w:lineRule="auto"/>
        <w:jc w:val="both"/>
        <w:rPr>
          <w:rFonts w:ascii="Arial" w:hAnsi="Arial" w:cs="Arial"/>
          <w:sz w:val="22"/>
          <w:szCs w:val="22"/>
        </w:rPr>
      </w:pPr>
    </w:p>
    <w:p w14:paraId="695D4ACD" w14:textId="71E0D7AC" w:rsidR="00051001" w:rsidRDefault="00051001" w:rsidP="00B76C30">
      <w:pPr>
        <w:spacing w:line="360" w:lineRule="auto"/>
        <w:jc w:val="both"/>
        <w:rPr>
          <w:rFonts w:ascii="Arial" w:hAnsi="Arial" w:cs="Arial"/>
          <w:sz w:val="22"/>
          <w:szCs w:val="22"/>
        </w:rPr>
      </w:pPr>
      <w:r w:rsidRPr="00051001">
        <w:rPr>
          <w:rFonts w:ascii="Arial" w:hAnsi="Arial" w:cs="Arial"/>
          <w:sz w:val="22"/>
          <w:szCs w:val="22"/>
        </w:rPr>
        <w:t>En relación con lo anterior, el artículo 161, del Código Electoral señala que el día de la jornada electoral y los tres días previos, estará prohibido la celebración y la difusión de reuniones o actos públicos de campaña, de propaganda o proselitismo electoral.</w:t>
      </w:r>
    </w:p>
    <w:p w14:paraId="3BBB3377" w14:textId="17B239E5" w:rsidR="00051001" w:rsidRDefault="00051001" w:rsidP="00B76C30">
      <w:pPr>
        <w:spacing w:line="360" w:lineRule="auto"/>
        <w:jc w:val="both"/>
        <w:rPr>
          <w:rFonts w:ascii="Arial" w:hAnsi="Arial" w:cs="Arial"/>
          <w:sz w:val="22"/>
          <w:szCs w:val="22"/>
        </w:rPr>
      </w:pPr>
    </w:p>
    <w:p w14:paraId="2B63BB9E" w14:textId="0B6B901C" w:rsidR="00051001" w:rsidRDefault="00051001" w:rsidP="00B76C30">
      <w:pPr>
        <w:spacing w:line="360" w:lineRule="auto"/>
        <w:jc w:val="both"/>
        <w:rPr>
          <w:rFonts w:ascii="Arial" w:hAnsi="Arial" w:cs="Arial"/>
          <w:sz w:val="22"/>
          <w:szCs w:val="22"/>
        </w:rPr>
      </w:pPr>
      <w:r w:rsidRPr="00051001">
        <w:rPr>
          <w:rFonts w:ascii="Arial" w:hAnsi="Arial" w:cs="Arial"/>
          <w:sz w:val="22"/>
          <w:szCs w:val="22"/>
        </w:rPr>
        <w:t>Al respecto</w:t>
      </w:r>
      <w:r w:rsidR="00B95F0B">
        <w:rPr>
          <w:rFonts w:ascii="Arial" w:hAnsi="Arial" w:cs="Arial"/>
          <w:sz w:val="22"/>
          <w:szCs w:val="22"/>
        </w:rPr>
        <w:t xml:space="preserve"> la</w:t>
      </w:r>
      <w:r w:rsidRPr="00051001">
        <w:rPr>
          <w:rFonts w:ascii="Arial" w:hAnsi="Arial" w:cs="Arial"/>
          <w:sz w:val="22"/>
          <w:szCs w:val="22"/>
        </w:rPr>
        <w:t xml:space="preserve"> Sala Superior ha sostenido</w:t>
      </w:r>
      <w:r>
        <w:rPr>
          <w:rStyle w:val="Refdenotaalpie"/>
          <w:rFonts w:ascii="Arial" w:hAnsi="Arial" w:cs="Arial"/>
          <w:sz w:val="22"/>
          <w:szCs w:val="22"/>
        </w:rPr>
        <w:footnoteReference w:id="5"/>
      </w:r>
      <w:r w:rsidRPr="00051001">
        <w:rPr>
          <w:rFonts w:ascii="Arial" w:hAnsi="Arial" w:cs="Arial"/>
          <w:sz w:val="22"/>
          <w:szCs w:val="22"/>
        </w:rPr>
        <w:t xml:space="preserve"> que, </w:t>
      </w:r>
      <w:r w:rsidR="00ED6B29">
        <w:rPr>
          <w:rFonts w:ascii="Arial" w:hAnsi="Arial" w:cs="Arial"/>
          <w:sz w:val="22"/>
          <w:szCs w:val="22"/>
        </w:rPr>
        <w:t>la veda electoral, es el</w:t>
      </w:r>
      <w:r w:rsidRPr="00051001">
        <w:rPr>
          <w:rFonts w:ascii="Arial" w:hAnsi="Arial" w:cs="Arial"/>
          <w:sz w:val="22"/>
          <w:szCs w:val="22"/>
        </w:rPr>
        <w:t xml:space="preserve"> periodo de tiempo durante el cual los candidatos, partidos políticos, y simpatizantes se deben abstener de realizar cualquier acto público o manifestación a efecto de promover o presentar ante la ciudadanía a los candidatos que contiendan a un cargo de elección.</w:t>
      </w:r>
    </w:p>
    <w:p w14:paraId="66D5F7A5" w14:textId="77777777" w:rsidR="00B95F0B" w:rsidRDefault="00B95F0B" w:rsidP="00B76C30">
      <w:pPr>
        <w:spacing w:line="360" w:lineRule="auto"/>
        <w:jc w:val="both"/>
        <w:rPr>
          <w:rFonts w:ascii="Arial" w:hAnsi="Arial" w:cs="Arial"/>
          <w:sz w:val="22"/>
          <w:szCs w:val="22"/>
        </w:rPr>
      </w:pPr>
    </w:p>
    <w:p w14:paraId="43A34C1F" w14:textId="77777777" w:rsidR="00B95F0B" w:rsidRDefault="00051001" w:rsidP="00051001">
      <w:pPr>
        <w:spacing w:line="360" w:lineRule="auto"/>
        <w:jc w:val="both"/>
        <w:rPr>
          <w:rFonts w:ascii="Arial" w:hAnsi="Arial" w:cs="Arial"/>
          <w:sz w:val="22"/>
          <w:szCs w:val="22"/>
        </w:rPr>
      </w:pPr>
      <w:r w:rsidRPr="00051001">
        <w:rPr>
          <w:rFonts w:ascii="Arial" w:hAnsi="Arial" w:cs="Arial"/>
          <w:sz w:val="22"/>
          <w:szCs w:val="22"/>
        </w:rPr>
        <w:t xml:space="preserve">El objeto del </w:t>
      </w:r>
      <w:r w:rsidR="00ED6B29">
        <w:rPr>
          <w:rFonts w:ascii="Arial" w:hAnsi="Arial" w:cs="Arial"/>
          <w:sz w:val="22"/>
          <w:szCs w:val="22"/>
        </w:rPr>
        <w:t xml:space="preserve">referido </w:t>
      </w:r>
      <w:r w:rsidRPr="00051001">
        <w:rPr>
          <w:rFonts w:ascii="Arial" w:hAnsi="Arial" w:cs="Arial"/>
          <w:sz w:val="22"/>
          <w:szCs w:val="22"/>
        </w:rPr>
        <w:t>periodo</w:t>
      </w:r>
      <w:r w:rsidR="00ED6B29">
        <w:rPr>
          <w:rFonts w:ascii="Arial" w:hAnsi="Arial" w:cs="Arial"/>
          <w:sz w:val="22"/>
          <w:szCs w:val="22"/>
        </w:rPr>
        <w:t>,</w:t>
      </w:r>
      <w:r w:rsidRPr="00051001">
        <w:rPr>
          <w:rFonts w:ascii="Arial" w:hAnsi="Arial" w:cs="Arial"/>
          <w:sz w:val="22"/>
          <w:szCs w:val="22"/>
        </w:rPr>
        <w:t xml:space="preserve"> es generar las condiciones suficientes para que, una vez concluido el periodo de campañas electorales, los ciudadanos procesen la información recibida durante el mismo, y reflexionen el sentido de su voto, haciendo una valoración y confrontación de la oferta política que se presenta en los comicios, para lo cual el legislador buscó generar las condiciones óptimas para ello. </w:t>
      </w:r>
    </w:p>
    <w:p w14:paraId="694A9296" w14:textId="77777777" w:rsidR="00B95F0B" w:rsidRDefault="00B95F0B" w:rsidP="00051001">
      <w:pPr>
        <w:spacing w:line="360" w:lineRule="auto"/>
        <w:jc w:val="both"/>
        <w:rPr>
          <w:rFonts w:ascii="Arial" w:hAnsi="Arial" w:cs="Arial"/>
          <w:sz w:val="22"/>
          <w:szCs w:val="22"/>
        </w:rPr>
      </w:pPr>
    </w:p>
    <w:p w14:paraId="4F0EB578" w14:textId="6AAC266A" w:rsidR="00051001" w:rsidRDefault="00051001" w:rsidP="00051001">
      <w:pPr>
        <w:spacing w:line="360" w:lineRule="auto"/>
        <w:jc w:val="both"/>
        <w:rPr>
          <w:rFonts w:ascii="Arial" w:hAnsi="Arial" w:cs="Arial"/>
          <w:sz w:val="22"/>
          <w:szCs w:val="22"/>
        </w:rPr>
      </w:pPr>
      <w:r w:rsidRPr="00051001">
        <w:rPr>
          <w:rFonts w:ascii="Arial" w:hAnsi="Arial" w:cs="Arial"/>
          <w:sz w:val="22"/>
          <w:szCs w:val="22"/>
        </w:rPr>
        <w:t>Adicionalmente, en ese periodo se busca evitar que se emita propaganda que pudiera influenciar, persuadir o coaccionar al electorado, evitando ventajas indebidas, dada la cercanía con la jornada electoral.</w:t>
      </w:r>
      <w:r w:rsidRPr="00051001">
        <w:rPr>
          <w:rFonts w:ascii="Arial" w:hAnsi="Arial" w:cs="Arial"/>
          <w:sz w:val="22"/>
          <w:szCs w:val="22"/>
          <w:vertAlign w:val="superscript"/>
        </w:rPr>
        <w:footnoteReference w:id="6"/>
      </w:r>
    </w:p>
    <w:p w14:paraId="0D12268B" w14:textId="0C5D65A3" w:rsidR="00051001" w:rsidRDefault="00051001" w:rsidP="00051001">
      <w:pPr>
        <w:spacing w:line="360" w:lineRule="auto"/>
        <w:jc w:val="both"/>
        <w:rPr>
          <w:rFonts w:ascii="Arial" w:hAnsi="Arial" w:cs="Arial"/>
          <w:sz w:val="22"/>
          <w:szCs w:val="22"/>
        </w:rPr>
      </w:pPr>
    </w:p>
    <w:p w14:paraId="7610C819" w14:textId="21FD3285" w:rsidR="00051001" w:rsidRDefault="00051001" w:rsidP="00051001">
      <w:pPr>
        <w:spacing w:line="360" w:lineRule="auto"/>
        <w:jc w:val="both"/>
        <w:rPr>
          <w:rFonts w:ascii="Arial" w:hAnsi="Arial" w:cs="Arial"/>
          <w:sz w:val="22"/>
          <w:szCs w:val="22"/>
        </w:rPr>
      </w:pPr>
      <w:r w:rsidRPr="00051001">
        <w:rPr>
          <w:rFonts w:ascii="Arial" w:hAnsi="Arial" w:cs="Arial"/>
          <w:sz w:val="22"/>
          <w:szCs w:val="22"/>
        </w:rPr>
        <w:t>De esta forma, también previene que se difunda propaganda electoral o se realicen actos de campaña contrarios a la legislación electoral en fechas muy próximas a los comicios, los cuales, dados los tiempos, no puedan ser susceptibles de ser desvirtuados ni depurados a través de los mecanismos de control con que cuentan las autoridades electorales.</w:t>
      </w:r>
    </w:p>
    <w:p w14:paraId="219CE562" w14:textId="1B189FFE" w:rsidR="00ED6B29" w:rsidRDefault="00ED6B29" w:rsidP="00051001">
      <w:pPr>
        <w:spacing w:line="360" w:lineRule="auto"/>
        <w:jc w:val="both"/>
        <w:rPr>
          <w:rFonts w:ascii="Arial" w:hAnsi="Arial" w:cs="Arial"/>
          <w:sz w:val="22"/>
          <w:szCs w:val="22"/>
        </w:rPr>
      </w:pPr>
    </w:p>
    <w:p w14:paraId="1ABEA061" w14:textId="4AE26BFD" w:rsidR="00ED6B29" w:rsidRDefault="00ED6B29" w:rsidP="00051001">
      <w:pPr>
        <w:spacing w:line="360" w:lineRule="auto"/>
        <w:jc w:val="both"/>
        <w:rPr>
          <w:rFonts w:ascii="Arial" w:hAnsi="Arial" w:cs="Arial"/>
          <w:sz w:val="22"/>
          <w:szCs w:val="22"/>
        </w:rPr>
      </w:pPr>
      <w:r w:rsidRPr="00ED6B29">
        <w:rPr>
          <w:rFonts w:ascii="Arial" w:hAnsi="Arial" w:cs="Arial"/>
          <w:sz w:val="22"/>
          <w:szCs w:val="22"/>
        </w:rPr>
        <w:t>En este sentido supone, en principio, una prohibición de realizar actos de propaganda a favor o en contra de un partido político o de quienes ostentan una candidatura durante los días previos a la elección y el día de la elección misma.</w:t>
      </w:r>
    </w:p>
    <w:p w14:paraId="7874057D" w14:textId="16038BDE" w:rsidR="00ED6B29" w:rsidRDefault="00ED6B29" w:rsidP="00051001">
      <w:pPr>
        <w:spacing w:line="360" w:lineRule="auto"/>
        <w:jc w:val="both"/>
        <w:rPr>
          <w:rFonts w:ascii="Arial" w:hAnsi="Arial" w:cs="Arial"/>
          <w:sz w:val="22"/>
          <w:szCs w:val="22"/>
        </w:rPr>
      </w:pPr>
    </w:p>
    <w:p w14:paraId="34430E5B" w14:textId="742ADFA3" w:rsidR="00ED6B29" w:rsidRDefault="00ED6B29" w:rsidP="00ED6B29">
      <w:pPr>
        <w:spacing w:line="360" w:lineRule="auto"/>
        <w:jc w:val="both"/>
        <w:rPr>
          <w:rFonts w:ascii="Arial" w:hAnsi="Arial" w:cs="Arial"/>
          <w:sz w:val="22"/>
          <w:szCs w:val="22"/>
        </w:rPr>
      </w:pPr>
      <w:r w:rsidRPr="00ED6B29">
        <w:rPr>
          <w:rFonts w:ascii="Arial" w:hAnsi="Arial" w:cs="Arial"/>
          <w:sz w:val="22"/>
          <w:szCs w:val="22"/>
        </w:rPr>
        <w:t xml:space="preserve">Al ser un tiempo de suma trascendencia para que los electores decidan el sentido de su voto, las autoridades electorales deben analizar con un escrutinio más estricto las posibles irregularidades que se puedan dar en este periodo de veda, como la Sala Superior sostuvo en la Tesis LXXXIV/2016, con el siguiente rubro: </w:t>
      </w:r>
      <w:r w:rsidRPr="00ED6B29">
        <w:rPr>
          <w:rFonts w:ascii="Arial" w:hAnsi="Arial" w:cs="Arial"/>
          <w:b/>
          <w:i/>
          <w:sz w:val="22"/>
          <w:szCs w:val="22"/>
        </w:rPr>
        <w:t>“VEDA ELECTORAL. LAS AUTORIDADES ELECTORALES DEBEN ANALIZAR CON ESCRUTINIO MÁS ESTRICTO LAS POSIBLES IRREGULARIDADES EN DICHO PERIODO”</w:t>
      </w:r>
      <w:r w:rsidRPr="00ED6B29">
        <w:rPr>
          <w:rFonts w:ascii="Arial" w:hAnsi="Arial" w:cs="Arial"/>
          <w:sz w:val="22"/>
          <w:szCs w:val="22"/>
        </w:rPr>
        <w:t xml:space="preserve">. </w:t>
      </w:r>
    </w:p>
    <w:p w14:paraId="2BD266AE" w14:textId="41B9DB6E" w:rsidR="00ED6B29" w:rsidRDefault="00ED6B29" w:rsidP="00ED6B29">
      <w:pPr>
        <w:spacing w:line="360" w:lineRule="auto"/>
        <w:jc w:val="both"/>
        <w:rPr>
          <w:rFonts w:ascii="Arial" w:hAnsi="Arial" w:cs="Arial"/>
          <w:sz w:val="22"/>
          <w:szCs w:val="22"/>
        </w:rPr>
      </w:pPr>
    </w:p>
    <w:p w14:paraId="1CBF55F7" w14:textId="7D383300" w:rsidR="00ED6B29" w:rsidRDefault="00ED6B29" w:rsidP="00ED6B29">
      <w:pPr>
        <w:spacing w:line="360" w:lineRule="auto"/>
        <w:jc w:val="both"/>
        <w:rPr>
          <w:rFonts w:ascii="Arial" w:hAnsi="Arial" w:cs="Arial"/>
          <w:sz w:val="22"/>
          <w:szCs w:val="22"/>
        </w:rPr>
      </w:pPr>
      <w:r w:rsidRPr="00ED6B29">
        <w:rPr>
          <w:rFonts w:ascii="Arial" w:hAnsi="Arial" w:cs="Arial"/>
          <w:sz w:val="22"/>
          <w:szCs w:val="22"/>
        </w:rPr>
        <w:t>Finalmente, cabe destacar que la prohibición en el periodo de veda constituye un límite razonable a la libertad de expresión y también incluye los mensajes que se difundan a través de redes sociales, como lo ha razonado la Sala Superior</w:t>
      </w:r>
      <w:r w:rsidRPr="00ED6B29">
        <w:rPr>
          <w:rFonts w:ascii="Arial" w:hAnsi="Arial" w:cs="Arial"/>
          <w:sz w:val="22"/>
          <w:szCs w:val="22"/>
          <w:vertAlign w:val="superscript"/>
        </w:rPr>
        <w:footnoteReference w:id="7"/>
      </w:r>
      <w:r w:rsidRPr="00ED6B29">
        <w:rPr>
          <w:rFonts w:ascii="Arial" w:hAnsi="Arial" w:cs="Arial"/>
          <w:sz w:val="22"/>
          <w:szCs w:val="22"/>
        </w:rPr>
        <w:t xml:space="preserve">. </w:t>
      </w:r>
    </w:p>
    <w:p w14:paraId="70097884" w14:textId="366140FC" w:rsidR="004E0101" w:rsidRDefault="004E0101" w:rsidP="00ED6B29">
      <w:pPr>
        <w:spacing w:line="360" w:lineRule="auto"/>
        <w:jc w:val="both"/>
        <w:rPr>
          <w:rFonts w:ascii="Arial" w:hAnsi="Arial" w:cs="Arial"/>
          <w:sz w:val="22"/>
          <w:szCs w:val="22"/>
        </w:rPr>
      </w:pPr>
    </w:p>
    <w:p w14:paraId="1816FE11" w14:textId="4EDD4019" w:rsidR="00B81409" w:rsidRDefault="004E0101" w:rsidP="00B95F0B">
      <w:pPr>
        <w:spacing w:line="360" w:lineRule="auto"/>
        <w:jc w:val="both"/>
        <w:rPr>
          <w:rFonts w:ascii="Arial" w:hAnsi="Arial" w:cs="Arial"/>
          <w:sz w:val="22"/>
          <w:szCs w:val="22"/>
        </w:rPr>
      </w:pPr>
      <w:r>
        <w:rPr>
          <w:rFonts w:ascii="Arial" w:hAnsi="Arial" w:cs="Arial"/>
          <w:sz w:val="22"/>
          <w:szCs w:val="22"/>
        </w:rPr>
        <w:lastRenderedPageBreak/>
        <w:t xml:space="preserve">Ahora bien, </w:t>
      </w:r>
      <w:r w:rsidR="000B0829">
        <w:rPr>
          <w:rFonts w:ascii="Arial" w:hAnsi="Arial" w:cs="Arial"/>
          <w:sz w:val="22"/>
          <w:szCs w:val="22"/>
        </w:rPr>
        <w:t>es menester señalar</w:t>
      </w:r>
      <w:r w:rsidR="00B95F0B">
        <w:rPr>
          <w:rFonts w:ascii="Arial" w:hAnsi="Arial" w:cs="Arial"/>
          <w:sz w:val="22"/>
          <w:szCs w:val="22"/>
        </w:rPr>
        <w:t xml:space="preserve"> que existe un déficit demostrativo por parte del denunciante en lo relativo a sus aseveraciones, pues si bien acusa que </w:t>
      </w:r>
      <w:r w:rsidR="008E2E6C">
        <w:rPr>
          <w:rFonts w:ascii="Arial" w:hAnsi="Arial" w:cs="Arial"/>
          <w:sz w:val="22"/>
          <w:szCs w:val="22"/>
        </w:rPr>
        <w:t>la propaganda del</w:t>
      </w:r>
      <w:r w:rsidR="00A023F0">
        <w:rPr>
          <w:rFonts w:ascii="Arial" w:hAnsi="Arial" w:cs="Arial"/>
          <w:sz w:val="22"/>
          <w:szCs w:val="22"/>
        </w:rPr>
        <w:t xml:space="preserve"> entonces candidato denunciado</w:t>
      </w:r>
      <w:r w:rsidR="008E2E6C">
        <w:rPr>
          <w:rFonts w:ascii="Arial" w:hAnsi="Arial" w:cs="Arial"/>
          <w:sz w:val="22"/>
          <w:szCs w:val="22"/>
        </w:rPr>
        <w:t>, se</w:t>
      </w:r>
      <w:r w:rsidR="00A023F0">
        <w:rPr>
          <w:rFonts w:ascii="Arial" w:hAnsi="Arial" w:cs="Arial"/>
          <w:sz w:val="22"/>
          <w:szCs w:val="22"/>
        </w:rPr>
        <w:t xml:space="preserve"> colocó por la madrugada del tres de junio una </w:t>
      </w:r>
      <w:r w:rsidR="00B95F0B">
        <w:rPr>
          <w:rFonts w:ascii="Arial" w:hAnsi="Arial" w:cs="Arial"/>
          <w:sz w:val="22"/>
          <w:szCs w:val="22"/>
        </w:rPr>
        <w:t>lona tipo espectacular,</w:t>
      </w:r>
      <w:r w:rsidR="00A023F0">
        <w:rPr>
          <w:rFonts w:ascii="Arial" w:hAnsi="Arial" w:cs="Arial"/>
          <w:sz w:val="22"/>
          <w:szCs w:val="22"/>
        </w:rPr>
        <w:t xml:space="preserve"> la cual estuvo fijada durante la veda electoral,</w:t>
      </w:r>
      <w:r w:rsidR="00B95F0B">
        <w:rPr>
          <w:rFonts w:ascii="Arial" w:hAnsi="Arial" w:cs="Arial"/>
          <w:sz w:val="22"/>
          <w:szCs w:val="22"/>
        </w:rPr>
        <w:t xml:space="preserve"> lo cierto es que sus manifestaciones no se encuentran sustentadas con algún otro medio probatorio que las acredite</w:t>
      </w:r>
      <w:bookmarkStart w:id="8" w:name="_Hlk76373400"/>
      <w:r w:rsidR="00B95F0B">
        <w:rPr>
          <w:rFonts w:ascii="Arial" w:hAnsi="Arial" w:cs="Arial"/>
          <w:sz w:val="22"/>
          <w:szCs w:val="22"/>
        </w:rPr>
        <w:t>, ya que no obra en el sumario de mérito algún elemento con el cual se pueda confirmar que la publicidad fue colocada en el periodo de veda</w:t>
      </w:r>
      <w:bookmarkEnd w:id="8"/>
      <w:r w:rsidR="00B95F0B">
        <w:rPr>
          <w:rFonts w:ascii="Arial" w:hAnsi="Arial" w:cs="Arial"/>
          <w:sz w:val="22"/>
          <w:szCs w:val="22"/>
        </w:rPr>
        <w:t>.</w:t>
      </w:r>
    </w:p>
    <w:p w14:paraId="3ED62BDB" w14:textId="395D41EE" w:rsidR="007D6325" w:rsidRDefault="007D6325" w:rsidP="00B95F0B">
      <w:pPr>
        <w:spacing w:line="360" w:lineRule="auto"/>
        <w:jc w:val="both"/>
        <w:rPr>
          <w:rFonts w:ascii="Arial" w:hAnsi="Arial" w:cs="Arial"/>
          <w:sz w:val="22"/>
          <w:szCs w:val="22"/>
        </w:rPr>
      </w:pPr>
    </w:p>
    <w:p w14:paraId="49B72B57" w14:textId="3346AA62" w:rsidR="007D6325" w:rsidRDefault="007D6325" w:rsidP="00B95F0B">
      <w:pPr>
        <w:spacing w:line="360" w:lineRule="auto"/>
        <w:jc w:val="both"/>
        <w:rPr>
          <w:rFonts w:ascii="Arial" w:hAnsi="Arial" w:cs="Arial"/>
          <w:sz w:val="22"/>
          <w:szCs w:val="22"/>
        </w:rPr>
      </w:pPr>
      <w:r>
        <w:rPr>
          <w:rFonts w:ascii="Arial" w:hAnsi="Arial" w:cs="Arial"/>
          <w:sz w:val="22"/>
          <w:szCs w:val="22"/>
        </w:rPr>
        <w:t xml:space="preserve">Si bien, </w:t>
      </w:r>
      <w:r w:rsidR="00526BA6">
        <w:rPr>
          <w:rFonts w:ascii="Arial" w:hAnsi="Arial" w:cs="Arial"/>
          <w:sz w:val="22"/>
          <w:szCs w:val="22"/>
        </w:rPr>
        <w:t>la lona que se denuncia</w:t>
      </w:r>
      <w:r>
        <w:rPr>
          <w:rFonts w:ascii="Arial" w:hAnsi="Arial" w:cs="Arial"/>
          <w:sz w:val="22"/>
          <w:szCs w:val="22"/>
        </w:rPr>
        <w:t xml:space="preserve"> queda plenamente acreditad</w:t>
      </w:r>
      <w:r w:rsidR="00526BA6">
        <w:rPr>
          <w:rFonts w:ascii="Arial" w:hAnsi="Arial" w:cs="Arial"/>
          <w:sz w:val="22"/>
          <w:szCs w:val="22"/>
        </w:rPr>
        <w:t>a</w:t>
      </w:r>
      <w:r>
        <w:rPr>
          <w:rFonts w:ascii="Arial" w:hAnsi="Arial" w:cs="Arial"/>
          <w:sz w:val="22"/>
          <w:szCs w:val="22"/>
        </w:rPr>
        <w:t xml:space="preserve"> en su existencia y contenido</w:t>
      </w:r>
      <w:r w:rsidR="00526BA6">
        <w:rPr>
          <w:rFonts w:ascii="Arial" w:hAnsi="Arial" w:cs="Arial"/>
          <w:sz w:val="22"/>
          <w:szCs w:val="22"/>
        </w:rPr>
        <w:t>,</w:t>
      </w:r>
      <w:r>
        <w:rPr>
          <w:rFonts w:ascii="Arial" w:hAnsi="Arial" w:cs="Arial"/>
          <w:sz w:val="22"/>
          <w:szCs w:val="22"/>
        </w:rPr>
        <w:t xml:space="preserve"> derivado de la respectiva diligencia de Oficialía Electoral, lo cierto es que esta actuación dio fe de </w:t>
      </w:r>
      <w:r w:rsidR="00267D0D">
        <w:rPr>
          <w:rFonts w:ascii="Arial" w:hAnsi="Arial" w:cs="Arial"/>
          <w:sz w:val="22"/>
          <w:szCs w:val="22"/>
        </w:rPr>
        <w:t xml:space="preserve">los efectos de </w:t>
      </w:r>
      <w:r>
        <w:rPr>
          <w:rFonts w:ascii="Arial" w:hAnsi="Arial" w:cs="Arial"/>
          <w:sz w:val="22"/>
          <w:szCs w:val="22"/>
        </w:rPr>
        <w:t>esa publicidad el día veinte de junio, por lo que esta autoridad jurisdiccional no cuenta con los elementos probatorios suficientes para relacionar y/o determinar que la lona tipo espectacular controvertida, fuera colocada en el día que la parte denunciante sugiere.</w:t>
      </w:r>
    </w:p>
    <w:p w14:paraId="60A60091" w14:textId="5B70A872" w:rsidR="003D1FD8" w:rsidRDefault="003D1FD8" w:rsidP="00B95F0B">
      <w:pPr>
        <w:spacing w:line="360" w:lineRule="auto"/>
        <w:jc w:val="both"/>
        <w:rPr>
          <w:rFonts w:ascii="Arial" w:hAnsi="Arial" w:cs="Arial"/>
          <w:sz w:val="22"/>
          <w:szCs w:val="22"/>
        </w:rPr>
      </w:pPr>
    </w:p>
    <w:p w14:paraId="0F7C3057" w14:textId="1F662B5B" w:rsidR="00267D0D" w:rsidRDefault="008E2E6C" w:rsidP="00B95F0B">
      <w:pPr>
        <w:spacing w:line="360" w:lineRule="auto"/>
        <w:jc w:val="both"/>
        <w:rPr>
          <w:rFonts w:ascii="Arial" w:hAnsi="Arial" w:cs="Arial"/>
          <w:sz w:val="22"/>
          <w:szCs w:val="22"/>
        </w:rPr>
      </w:pPr>
      <w:r>
        <w:rPr>
          <w:rFonts w:ascii="Arial" w:hAnsi="Arial" w:cs="Arial"/>
          <w:sz w:val="22"/>
          <w:szCs w:val="22"/>
        </w:rPr>
        <w:t>Se suma que e</w:t>
      </w:r>
      <w:r w:rsidR="003D1FD8">
        <w:rPr>
          <w:rFonts w:ascii="Arial" w:hAnsi="Arial" w:cs="Arial"/>
          <w:sz w:val="22"/>
          <w:szCs w:val="22"/>
        </w:rPr>
        <w:t>l Código Electoral</w:t>
      </w:r>
      <w:r>
        <w:rPr>
          <w:rFonts w:ascii="Arial" w:hAnsi="Arial" w:cs="Arial"/>
          <w:sz w:val="22"/>
          <w:szCs w:val="22"/>
        </w:rPr>
        <w:t xml:space="preserve"> establece que</w:t>
      </w:r>
      <w:r w:rsidR="003D1FD8">
        <w:rPr>
          <w:rFonts w:ascii="Arial" w:hAnsi="Arial" w:cs="Arial"/>
          <w:sz w:val="22"/>
          <w:szCs w:val="22"/>
        </w:rPr>
        <w:t xml:space="preserve">, </w:t>
      </w:r>
      <w:r w:rsidR="00C5300F">
        <w:rPr>
          <w:rFonts w:ascii="Arial" w:hAnsi="Arial" w:cs="Arial"/>
          <w:sz w:val="22"/>
          <w:szCs w:val="22"/>
        </w:rPr>
        <w:t>l</w:t>
      </w:r>
      <w:r w:rsidR="00C5300F" w:rsidRPr="00C5300F">
        <w:rPr>
          <w:rFonts w:ascii="Arial" w:hAnsi="Arial" w:cs="Arial"/>
          <w:sz w:val="22"/>
          <w:szCs w:val="22"/>
        </w:rPr>
        <w:t>os partidos políticos, coaliciones, candidaturas comunes y candidatos independientes deberán retirar, para su reciclaje, su propaganda electoral dentro de los treinta días siguientes al de la jornada electoral</w:t>
      </w:r>
      <w:r w:rsidR="00C5300F">
        <w:rPr>
          <w:rFonts w:ascii="Arial" w:hAnsi="Arial" w:cs="Arial"/>
          <w:sz w:val="22"/>
          <w:szCs w:val="22"/>
        </w:rPr>
        <w:t xml:space="preserve">, por lo que al quedar asentada la existencia de la lona el veinte de junio, no se </w:t>
      </w:r>
      <w:r w:rsidR="00267D0D">
        <w:rPr>
          <w:rFonts w:ascii="Arial" w:hAnsi="Arial" w:cs="Arial"/>
          <w:sz w:val="22"/>
          <w:szCs w:val="22"/>
        </w:rPr>
        <w:t>acredita vulneración alguna</w:t>
      </w:r>
      <w:r w:rsidR="00C5300F">
        <w:rPr>
          <w:rFonts w:ascii="Arial" w:hAnsi="Arial" w:cs="Arial"/>
          <w:sz w:val="22"/>
          <w:szCs w:val="22"/>
        </w:rPr>
        <w:t xml:space="preserve"> </w:t>
      </w:r>
      <w:r w:rsidR="00267D0D">
        <w:rPr>
          <w:rFonts w:ascii="Arial" w:hAnsi="Arial" w:cs="Arial"/>
          <w:sz w:val="22"/>
          <w:szCs w:val="22"/>
        </w:rPr>
        <w:t>a la normativa en la materia.</w:t>
      </w:r>
    </w:p>
    <w:p w14:paraId="6DC82C08" w14:textId="77777777" w:rsidR="00267D0D" w:rsidRDefault="00267D0D" w:rsidP="00B95F0B">
      <w:pPr>
        <w:spacing w:line="360" w:lineRule="auto"/>
        <w:jc w:val="both"/>
        <w:rPr>
          <w:rFonts w:ascii="Arial" w:hAnsi="Arial" w:cs="Arial"/>
          <w:sz w:val="22"/>
          <w:szCs w:val="22"/>
        </w:rPr>
      </w:pPr>
    </w:p>
    <w:p w14:paraId="33D521D1" w14:textId="07E59AC7" w:rsidR="00267D0D" w:rsidRDefault="00267D0D" w:rsidP="00B95F0B">
      <w:pPr>
        <w:spacing w:line="360" w:lineRule="auto"/>
        <w:jc w:val="both"/>
        <w:rPr>
          <w:rFonts w:ascii="Arial" w:hAnsi="Arial" w:cs="Arial"/>
          <w:sz w:val="22"/>
          <w:szCs w:val="22"/>
        </w:rPr>
      </w:pPr>
      <w:r>
        <w:rPr>
          <w:rFonts w:ascii="Arial" w:hAnsi="Arial" w:cs="Arial"/>
          <w:sz w:val="22"/>
          <w:szCs w:val="22"/>
        </w:rPr>
        <w:t>Para mayor comprensión, se establece el siguiente esquema en el cual se describen las temporalidades objeto del presente asunto, de acuerdo a las constancias que obran en autos.</w:t>
      </w:r>
    </w:p>
    <w:p w14:paraId="32E71D67" w14:textId="77777777" w:rsidR="00267D0D" w:rsidRDefault="00267D0D" w:rsidP="00B95F0B">
      <w:pPr>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2478"/>
        <w:gridCol w:w="2478"/>
        <w:gridCol w:w="2478"/>
        <w:gridCol w:w="2479"/>
      </w:tblGrid>
      <w:tr w:rsidR="00267D0D" w14:paraId="352FADAB" w14:textId="77777777" w:rsidTr="00267D0D">
        <w:tc>
          <w:tcPr>
            <w:tcW w:w="2478" w:type="dxa"/>
            <w:shd w:val="clear" w:color="auto" w:fill="D9D9D9" w:themeFill="background1" w:themeFillShade="D9"/>
          </w:tcPr>
          <w:p w14:paraId="248E8402" w14:textId="16D5C9CD" w:rsidR="00267D0D" w:rsidRPr="00267D0D" w:rsidRDefault="00267D0D" w:rsidP="00267D0D">
            <w:pPr>
              <w:spacing w:line="360" w:lineRule="auto"/>
              <w:jc w:val="center"/>
              <w:rPr>
                <w:rFonts w:ascii="Arial" w:hAnsi="Arial" w:cs="Arial"/>
                <w:sz w:val="18"/>
                <w:szCs w:val="18"/>
              </w:rPr>
            </w:pPr>
            <w:r w:rsidRPr="00267D0D">
              <w:rPr>
                <w:rFonts w:ascii="Arial" w:hAnsi="Arial" w:cs="Arial"/>
                <w:sz w:val="18"/>
                <w:szCs w:val="18"/>
              </w:rPr>
              <w:t>FIJACI</w:t>
            </w:r>
            <w:r>
              <w:rPr>
                <w:rFonts w:ascii="Arial" w:hAnsi="Arial" w:cs="Arial"/>
                <w:sz w:val="18"/>
                <w:szCs w:val="18"/>
              </w:rPr>
              <w:t>Ó</w:t>
            </w:r>
            <w:r w:rsidRPr="00267D0D">
              <w:rPr>
                <w:rFonts w:ascii="Arial" w:hAnsi="Arial" w:cs="Arial"/>
                <w:sz w:val="18"/>
                <w:szCs w:val="18"/>
              </w:rPr>
              <w:t>N DE LA LONA</w:t>
            </w:r>
            <w:r>
              <w:rPr>
                <w:rFonts w:ascii="Arial" w:hAnsi="Arial" w:cs="Arial"/>
                <w:sz w:val="18"/>
                <w:szCs w:val="18"/>
              </w:rPr>
              <w:t xml:space="preserve"> SEGÚN EL DENUNCIADO</w:t>
            </w:r>
          </w:p>
        </w:tc>
        <w:tc>
          <w:tcPr>
            <w:tcW w:w="2478" w:type="dxa"/>
            <w:shd w:val="clear" w:color="auto" w:fill="D9D9D9" w:themeFill="background1" w:themeFillShade="D9"/>
          </w:tcPr>
          <w:p w14:paraId="0A6B10AE" w14:textId="16E0F234" w:rsidR="00267D0D" w:rsidRPr="00267D0D" w:rsidRDefault="00267D0D" w:rsidP="00267D0D">
            <w:pPr>
              <w:spacing w:line="360" w:lineRule="auto"/>
              <w:jc w:val="center"/>
              <w:rPr>
                <w:rFonts w:ascii="Arial" w:hAnsi="Arial" w:cs="Arial"/>
                <w:sz w:val="18"/>
                <w:szCs w:val="18"/>
              </w:rPr>
            </w:pPr>
            <w:r w:rsidRPr="00267D0D">
              <w:rPr>
                <w:rFonts w:ascii="Arial" w:hAnsi="Arial" w:cs="Arial"/>
                <w:sz w:val="18"/>
                <w:szCs w:val="18"/>
              </w:rPr>
              <w:t xml:space="preserve">COLOCACIÓN </w:t>
            </w:r>
            <w:r>
              <w:rPr>
                <w:rFonts w:ascii="Arial" w:hAnsi="Arial" w:cs="Arial"/>
                <w:sz w:val="18"/>
                <w:szCs w:val="18"/>
              </w:rPr>
              <w:t xml:space="preserve">DE LA LONA </w:t>
            </w:r>
            <w:r w:rsidRPr="00267D0D">
              <w:rPr>
                <w:rFonts w:ascii="Arial" w:hAnsi="Arial" w:cs="Arial"/>
                <w:sz w:val="18"/>
                <w:szCs w:val="18"/>
              </w:rPr>
              <w:t>SEGÚN EL DENUNCIANTE</w:t>
            </w:r>
          </w:p>
        </w:tc>
        <w:tc>
          <w:tcPr>
            <w:tcW w:w="2478" w:type="dxa"/>
            <w:shd w:val="clear" w:color="auto" w:fill="D9D9D9" w:themeFill="background1" w:themeFillShade="D9"/>
          </w:tcPr>
          <w:p w14:paraId="486B8F6B" w14:textId="3BA48369" w:rsidR="00267D0D" w:rsidRPr="00267D0D" w:rsidRDefault="00267D0D" w:rsidP="00267D0D">
            <w:pPr>
              <w:spacing w:line="360" w:lineRule="auto"/>
              <w:jc w:val="center"/>
              <w:rPr>
                <w:rFonts w:ascii="Arial" w:hAnsi="Arial" w:cs="Arial"/>
                <w:sz w:val="18"/>
                <w:szCs w:val="18"/>
              </w:rPr>
            </w:pPr>
            <w:r w:rsidRPr="00267D0D">
              <w:rPr>
                <w:rFonts w:ascii="Arial" w:hAnsi="Arial" w:cs="Arial"/>
                <w:sz w:val="18"/>
                <w:szCs w:val="18"/>
              </w:rPr>
              <w:t>CERTIFICACIÓN</w:t>
            </w:r>
            <w:r>
              <w:rPr>
                <w:rFonts w:ascii="Arial" w:hAnsi="Arial" w:cs="Arial"/>
                <w:sz w:val="18"/>
                <w:szCs w:val="18"/>
              </w:rPr>
              <w:t xml:space="preserve"> DE LA EXISTENCIA Y CONTENIDO DE LA LONA</w:t>
            </w:r>
          </w:p>
        </w:tc>
        <w:tc>
          <w:tcPr>
            <w:tcW w:w="2479" w:type="dxa"/>
            <w:shd w:val="clear" w:color="auto" w:fill="D9D9D9" w:themeFill="background1" w:themeFillShade="D9"/>
          </w:tcPr>
          <w:p w14:paraId="6169DC27" w14:textId="0D633863" w:rsidR="00267D0D" w:rsidRPr="00267D0D" w:rsidRDefault="00267D0D" w:rsidP="00267D0D">
            <w:pPr>
              <w:spacing w:line="360" w:lineRule="auto"/>
              <w:jc w:val="center"/>
              <w:rPr>
                <w:rFonts w:ascii="Arial" w:hAnsi="Arial" w:cs="Arial"/>
                <w:sz w:val="18"/>
                <w:szCs w:val="18"/>
              </w:rPr>
            </w:pPr>
            <w:r w:rsidRPr="00267D0D">
              <w:rPr>
                <w:rFonts w:ascii="Arial" w:hAnsi="Arial" w:cs="Arial"/>
                <w:sz w:val="18"/>
                <w:szCs w:val="18"/>
              </w:rPr>
              <w:t>PLAZO NORMATIVO PARA EL RETIRO</w:t>
            </w:r>
            <w:r>
              <w:rPr>
                <w:rFonts w:ascii="Arial" w:hAnsi="Arial" w:cs="Arial"/>
                <w:sz w:val="18"/>
                <w:szCs w:val="18"/>
              </w:rPr>
              <w:t xml:space="preserve"> DE LA LONA PUBLICITARIA.</w:t>
            </w:r>
          </w:p>
        </w:tc>
      </w:tr>
      <w:tr w:rsidR="00267D0D" w14:paraId="170C9074" w14:textId="77777777" w:rsidTr="00267D0D">
        <w:tc>
          <w:tcPr>
            <w:tcW w:w="2478" w:type="dxa"/>
          </w:tcPr>
          <w:p w14:paraId="01264960" w14:textId="79ABD8EA" w:rsidR="00267D0D" w:rsidRDefault="00267D0D" w:rsidP="00267D0D">
            <w:pPr>
              <w:spacing w:line="360" w:lineRule="auto"/>
              <w:jc w:val="center"/>
              <w:rPr>
                <w:rFonts w:ascii="Arial" w:hAnsi="Arial" w:cs="Arial"/>
                <w:sz w:val="22"/>
                <w:szCs w:val="22"/>
              </w:rPr>
            </w:pPr>
            <w:r>
              <w:rPr>
                <w:rFonts w:ascii="Arial" w:hAnsi="Arial" w:cs="Arial"/>
                <w:sz w:val="22"/>
                <w:szCs w:val="22"/>
              </w:rPr>
              <w:t>3 mayo</w:t>
            </w:r>
          </w:p>
        </w:tc>
        <w:tc>
          <w:tcPr>
            <w:tcW w:w="2478" w:type="dxa"/>
          </w:tcPr>
          <w:p w14:paraId="34D98998" w14:textId="351BC9CE" w:rsidR="00267D0D" w:rsidRDefault="00267D0D" w:rsidP="00267D0D">
            <w:pPr>
              <w:spacing w:line="360" w:lineRule="auto"/>
              <w:jc w:val="center"/>
              <w:rPr>
                <w:rFonts w:ascii="Arial" w:hAnsi="Arial" w:cs="Arial"/>
                <w:sz w:val="22"/>
                <w:szCs w:val="22"/>
              </w:rPr>
            </w:pPr>
            <w:r>
              <w:rPr>
                <w:rFonts w:ascii="Arial" w:hAnsi="Arial" w:cs="Arial"/>
                <w:sz w:val="22"/>
                <w:szCs w:val="22"/>
              </w:rPr>
              <w:t>3 junio</w:t>
            </w:r>
          </w:p>
        </w:tc>
        <w:tc>
          <w:tcPr>
            <w:tcW w:w="2478" w:type="dxa"/>
          </w:tcPr>
          <w:p w14:paraId="18805C05" w14:textId="0D925D1A" w:rsidR="00267D0D" w:rsidRDefault="00267D0D" w:rsidP="00267D0D">
            <w:pPr>
              <w:spacing w:line="360" w:lineRule="auto"/>
              <w:jc w:val="center"/>
              <w:rPr>
                <w:rFonts w:ascii="Arial" w:hAnsi="Arial" w:cs="Arial"/>
                <w:sz w:val="22"/>
                <w:szCs w:val="22"/>
              </w:rPr>
            </w:pPr>
            <w:r>
              <w:rPr>
                <w:rFonts w:ascii="Arial" w:hAnsi="Arial" w:cs="Arial"/>
                <w:sz w:val="22"/>
                <w:szCs w:val="22"/>
              </w:rPr>
              <w:t>20 junio</w:t>
            </w:r>
          </w:p>
        </w:tc>
        <w:tc>
          <w:tcPr>
            <w:tcW w:w="2479" w:type="dxa"/>
          </w:tcPr>
          <w:p w14:paraId="0F56FBF5" w14:textId="425B1BF8" w:rsidR="00267D0D" w:rsidRDefault="00267D0D" w:rsidP="00267D0D">
            <w:pPr>
              <w:spacing w:line="360" w:lineRule="auto"/>
              <w:jc w:val="center"/>
              <w:rPr>
                <w:rFonts w:ascii="Arial" w:hAnsi="Arial" w:cs="Arial"/>
                <w:sz w:val="22"/>
                <w:szCs w:val="22"/>
              </w:rPr>
            </w:pPr>
            <w:r>
              <w:rPr>
                <w:rFonts w:ascii="Arial" w:hAnsi="Arial" w:cs="Arial"/>
                <w:sz w:val="22"/>
                <w:szCs w:val="22"/>
              </w:rPr>
              <w:t>6 julio.</w:t>
            </w:r>
          </w:p>
        </w:tc>
      </w:tr>
    </w:tbl>
    <w:p w14:paraId="0BFAFB3A" w14:textId="55AC9F10" w:rsidR="003D1FD8" w:rsidRDefault="00C5300F" w:rsidP="00B95F0B">
      <w:pPr>
        <w:spacing w:line="360" w:lineRule="auto"/>
        <w:jc w:val="both"/>
        <w:rPr>
          <w:rFonts w:ascii="Arial" w:hAnsi="Arial" w:cs="Arial"/>
          <w:sz w:val="22"/>
          <w:szCs w:val="22"/>
        </w:rPr>
      </w:pPr>
      <w:r>
        <w:rPr>
          <w:rFonts w:ascii="Arial" w:hAnsi="Arial" w:cs="Arial"/>
          <w:sz w:val="22"/>
          <w:szCs w:val="22"/>
        </w:rPr>
        <w:t xml:space="preserve"> </w:t>
      </w:r>
    </w:p>
    <w:p w14:paraId="5A5F044C" w14:textId="6CB058B7" w:rsidR="000B0829" w:rsidRDefault="00A35C1F" w:rsidP="00B95F0B">
      <w:pPr>
        <w:spacing w:line="360" w:lineRule="auto"/>
        <w:jc w:val="both"/>
        <w:rPr>
          <w:rFonts w:ascii="Arial" w:hAnsi="Arial" w:cs="Arial"/>
          <w:sz w:val="22"/>
          <w:szCs w:val="22"/>
        </w:rPr>
      </w:pPr>
      <w:r>
        <w:rPr>
          <w:rFonts w:ascii="Arial" w:hAnsi="Arial" w:cs="Arial"/>
          <w:sz w:val="22"/>
          <w:szCs w:val="22"/>
        </w:rPr>
        <w:t>Por lo</w:t>
      </w:r>
      <w:r w:rsidR="000B0829">
        <w:rPr>
          <w:rFonts w:ascii="Arial" w:hAnsi="Arial" w:cs="Arial"/>
          <w:sz w:val="22"/>
          <w:szCs w:val="22"/>
        </w:rPr>
        <w:t xml:space="preserve"> que</w:t>
      </w:r>
      <w:r>
        <w:rPr>
          <w:rFonts w:ascii="Arial" w:hAnsi="Arial" w:cs="Arial"/>
          <w:sz w:val="22"/>
          <w:szCs w:val="22"/>
        </w:rPr>
        <w:t>, al advertirse que</w:t>
      </w:r>
      <w:r w:rsidR="000B0829">
        <w:rPr>
          <w:rFonts w:ascii="Arial" w:hAnsi="Arial" w:cs="Arial"/>
          <w:sz w:val="22"/>
          <w:szCs w:val="22"/>
        </w:rPr>
        <w:t xml:space="preserve"> la certificación de hechos no establece ni da fe, de que la lona publicitaria se hubiera colocad</w:t>
      </w:r>
      <w:r w:rsidR="002B562A">
        <w:rPr>
          <w:rFonts w:ascii="Arial" w:hAnsi="Arial" w:cs="Arial"/>
          <w:sz w:val="22"/>
          <w:szCs w:val="22"/>
        </w:rPr>
        <w:t>o</w:t>
      </w:r>
      <w:r w:rsidR="000B0829">
        <w:rPr>
          <w:rFonts w:ascii="Arial" w:hAnsi="Arial" w:cs="Arial"/>
          <w:sz w:val="22"/>
          <w:szCs w:val="22"/>
        </w:rPr>
        <w:t xml:space="preserve"> en las condiciones que relata el quejoso, </w:t>
      </w:r>
      <w:r>
        <w:rPr>
          <w:rFonts w:ascii="Arial" w:hAnsi="Arial" w:cs="Arial"/>
          <w:sz w:val="22"/>
          <w:szCs w:val="22"/>
        </w:rPr>
        <w:t>al</w:t>
      </w:r>
      <w:r w:rsidR="000B0829">
        <w:rPr>
          <w:rFonts w:ascii="Arial" w:hAnsi="Arial" w:cs="Arial"/>
          <w:sz w:val="22"/>
          <w:szCs w:val="22"/>
        </w:rPr>
        <w:t xml:space="preserve"> dar constancia de la misma el 20 de junio, no causa por si mismo una ilegalidad que se susceptible de sanción alguna.</w:t>
      </w:r>
    </w:p>
    <w:p w14:paraId="40AC8F00" w14:textId="77777777" w:rsidR="00B95F0B" w:rsidRDefault="00B95F0B" w:rsidP="00B95F0B">
      <w:pPr>
        <w:spacing w:line="360" w:lineRule="auto"/>
        <w:jc w:val="both"/>
        <w:rPr>
          <w:rFonts w:ascii="Arial" w:hAnsi="Arial" w:cs="Arial"/>
          <w:sz w:val="22"/>
          <w:szCs w:val="22"/>
        </w:rPr>
      </w:pPr>
    </w:p>
    <w:p w14:paraId="1B494A90" w14:textId="50EB02D3" w:rsidR="00B81409" w:rsidRDefault="0044159D" w:rsidP="00B81409">
      <w:pPr>
        <w:spacing w:line="360" w:lineRule="auto"/>
        <w:jc w:val="both"/>
        <w:rPr>
          <w:rFonts w:ascii="Arial" w:hAnsi="Arial" w:cs="Arial"/>
          <w:sz w:val="22"/>
          <w:szCs w:val="22"/>
        </w:rPr>
      </w:pPr>
      <w:r>
        <w:rPr>
          <w:rFonts w:ascii="Arial" w:hAnsi="Arial" w:cs="Arial"/>
          <w:sz w:val="22"/>
          <w:szCs w:val="22"/>
        </w:rPr>
        <w:t>En consecuencia</w:t>
      </w:r>
      <w:r w:rsidR="00B81409" w:rsidRPr="00B81409">
        <w:rPr>
          <w:rFonts w:ascii="Arial" w:hAnsi="Arial" w:cs="Arial"/>
          <w:sz w:val="22"/>
          <w:szCs w:val="22"/>
        </w:rPr>
        <w:t>,</w:t>
      </w:r>
      <w:r>
        <w:rPr>
          <w:rFonts w:ascii="Arial" w:hAnsi="Arial" w:cs="Arial"/>
          <w:sz w:val="22"/>
          <w:szCs w:val="22"/>
        </w:rPr>
        <w:t xml:space="preserve"> </w:t>
      </w:r>
      <w:r w:rsidR="007D6325">
        <w:rPr>
          <w:rFonts w:ascii="Arial" w:hAnsi="Arial" w:cs="Arial"/>
          <w:sz w:val="22"/>
          <w:szCs w:val="22"/>
        </w:rPr>
        <w:t xml:space="preserve">al no obrar los elementos necesarios para </w:t>
      </w:r>
      <w:r w:rsidR="004D5F31">
        <w:rPr>
          <w:rFonts w:ascii="Arial" w:hAnsi="Arial" w:cs="Arial"/>
          <w:sz w:val="22"/>
          <w:szCs w:val="22"/>
        </w:rPr>
        <w:t xml:space="preserve">corroborar </w:t>
      </w:r>
      <w:r w:rsidR="007D6325">
        <w:rPr>
          <w:rFonts w:ascii="Arial" w:hAnsi="Arial" w:cs="Arial"/>
          <w:sz w:val="22"/>
          <w:szCs w:val="22"/>
        </w:rPr>
        <w:t>los hechos denunciados</w:t>
      </w:r>
      <w:r w:rsidR="004D5F31">
        <w:rPr>
          <w:rFonts w:ascii="Arial" w:hAnsi="Arial" w:cs="Arial"/>
          <w:sz w:val="22"/>
          <w:szCs w:val="22"/>
        </w:rPr>
        <w:t xml:space="preserve"> con sus circunstancias de tiempo aducidas por el quejoso</w:t>
      </w:r>
      <w:r w:rsidR="007D6325">
        <w:rPr>
          <w:rFonts w:ascii="Arial" w:hAnsi="Arial" w:cs="Arial"/>
          <w:sz w:val="22"/>
          <w:szCs w:val="22"/>
        </w:rPr>
        <w:t xml:space="preserve">, </w:t>
      </w:r>
      <w:r w:rsidR="004277C6">
        <w:rPr>
          <w:rFonts w:ascii="Arial" w:hAnsi="Arial" w:cs="Arial"/>
          <w:sz w:val="22"/>
          <w:szCs w:val="22"/>
        </w:rPr>
        <w:t>ni que el hecho de que la propaganda electoral hubiere estado fijada en veda electoral constituyera una infracción a la norma electoral</w:t>
      </w:r>
      <w:r w:rsidR="007D6325">
        <w:rPr>
          <w:rFonts w:ascii="Arial" w:hAnsi="Arial" w:cs="Arial"/>
          <w:sz w:val="22"/>
          <w:szCs w:val="22"/>
        </w:rPr>
        <w:t>, e</w:t>
      </w:r>
      <w:r w:rsidR="00B81409">
        <w:rPr>
          <w:rFonts w:ascii="Arial" w:hAnsi="Arial" w:cs="Arial"/>
          <w:sz w:val="22"/>
          <w:szCs w:val="22"/>
        </w:rPr>
        <w:t>ste Tribunal Electoral</w:t>
      </w:r>
      <w:r w:rsidR="00B81409" w:rsidRPr="00B81409">
        <w:rPr>
          <w:rFonts w:ascii="Arial" w:hAnsi="Arial" w:cs="Arial"/>
          <w:sz w:val="22"/>
          <w:szCs w:val="22"/>
        </w:rPr>
        <w:t xml:space="preserve"> determina </w:t>
      </w:r>
      <w:r w:rsidR="002B562A">
        <w:rPr>
          <w:rFonts w:ascii="Arial" w:hAnsi="Arial" w:cs="Arial"/>
          <w:sz w:val="22"/>
          <w:szCs w:val="22"/>
        </w:rPr>
        <w:t xml:space="preserve">la inexistencia de la infracción denunciada. </w:t>
      </w:r>
    </w:p>
    <w:p w14:paraId="0FEC5144" w14:textId="282A67CA" w:rsidR="007D6325" w:rsidRDefault="007D6325" w:rsidP="00B81409">
      <w:pPr>
        <w:spacing w:line="360" w:lineRule="auto"/>
        <w:jc w:val="both"/>
        <w:rPr>
          <w:rFonts w:ascii="Arial" w:hAnsi="Arial" w:cs="Arial"/>
          <w:sz w:val="22"/>
          <w:szCs w:val="22"/>
        </w:rPr>
      </w:pPr>
    </w:p>
    <w:p w14:paraId="7DDC7B75" w14:textId="77777777" w:rsidR="000B511B" w:rsidRDefault="000B511B" w:rsidP="00B81409">
      <w:pPr>
        <w:spacing w:line="360" w:lineRule="auto"/>
        <w:jc w:val="both"/>
        <w:rPr>
          <w:rFonts w:ascii="Arial" w:hAnsi="Arial" w:cs="Arial"/>
          <w:sz w:val="22"/>
          <w:szCs w:val="22"/>
        </w:rPr>
      </w:pPr>
    </w:p>
    <w:p w14:paraId="6D54723D" w14:textId="03786C6D" w:rsidR="00355466" w:rsidRPr="005833FF" w:rsidRDefault="00355466" w:rsidP="00355466">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sidR="007D6325">
        <w:rPr>
          <w:rFonts w:ascii="Arial" w:hAnsi="Arial" w:cs="Arial"/>
          <w:b/>
          <w:sz w:val="22"/>
          <w:szCs w:val="22"/>
        </w:rPr>
        <w:t>1</w:t>
      </w:r>
      <w:r w:rsidRPr="005833FF">
        <w:rPr>
          <w:rFonts w:ascii="Arial" w:hAnsi="Arial" w:cs="Arial"/>
          <w:b/>
          <w:sz w:val="22"/>
          <w:szCs w:val="22"/>
        </w:rPr>
        <w:t>. RESOLUTIVOS.</w:t>
      </w:r>
    </w:p>
    <w:p w14:paraId="5BAF75EF" w14:textId="77777777" w:rsidR="00355466" w:rsidRDefault="00355466" w:rsidP="00355466">
      <w:pPr>
        <w:spacing w:line="360" w:lineRule="auto"/>
        <w:jc w:val="both"/>
        <w:rPr>
          <w:rFonts w:ascii="Arial" w:hAnsi="Arial" w:cs="Arial"/>
          <w:sz w:val="22"/>
          <w:szCs w:val="22"/>
        </w:rPr>
      </w:pPr>
    </w:p>
    <w:p w14:paraId="2F62FC37" w14:textId="67F2DF17" w:rsidR="003C78B6" w:rsidRDefault="007D6325"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Pr>
          <w:rFonts w:ascii="Arial" w:hAnsi="Arial" w:cs="Arial"/>
          <w:b/>
          <w:bCs/>
          <w:sz w:val="22"/>
          <w:szCs w:val="22"/>
        </w:rPr>
        <w:t>UNICO</w:t>
      </w:r>
      <w:r w:rsidR="00355466" w:rsidRPr="002E7A1B">
        <w:rPr>
          <w:rFonts w:ascii="Arial" w:hAnsi="Arial" w:cs="Arial"/>
          <w:sz w:val="22"/>
          <w:szCs w:val="22"/>
        </w:rPr>
        <w:t xml:space="preserve">. </w:t>
      </w:r>
      <w:r w:rsidR="003C78B6">
        <w:rPr>
          <w:rFonts w:ascii="Arial" w:hAnsi="Arial" w:cs="Arial"/>
          <w:sz w:val="22"/>
          <w:szCs w:val="22"/>
        </w:rPr>
        <w:t xml:space="preserve">Es </w:t>
      </w:r>
      <w:r>
        <w:rPr>
          <w:rFonts w:ascii="Arial" w:hAnsi="Arial" w:cs="Arial"/>
          <w:sz w:val="22"/>
          <w:szCs w:val="22"/>
        </w:rPr>
        <w:t>in</w:t>
      </w:r>
      <w:r w:rsidR="003C78B6" w:rsidRPr="003C78B6">
        <w:rPr>
          <w:rFonts w:ascii="Arial" w:hAnsi="Arial" w:cs="Arial"/>
          <w:sz w:val="22"/>
          <w:szCs w:val="22"/>
        </w:rPr>
        <w:t xml:space="preserve">existente la infracción </w:t>
      </w:r>
      <w:r w:rsidR="00176E4B">
        <w:rPr>
          <w:rFonts w:ascii="Arial" w:hAnsi="Arial" w:cs="Arial"/>
          <w:sz w:val="22"/>
          <w:szCs w:val="22"/>
        </w:rPr>
        <w:t>denunciada.</w:t>
      </w:r>
    </w:p>
    <w:p w14:paraId="07271E0A" w14:textId="71D593EE" w:rsidR="007D6325" w:rsidRDefault="007D6325"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2998FCE9" w14:textId="6D2B3C66" w:rsidR="00722B62" w:rsidRDefault="00722B62"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2EB91961" w14:textId="0E0F6FB0" w:rsidR="00722B62" w:rsidRDefault="00722B62"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013C776D" w14:textId="07BE44D4" w:rsidR="00722B62" w:rsidRDefault="00722B62"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29631D49" w14:textId="5A673533" w:rsidR="00722B62" w:rsidRDefault="00722B62"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04E41943" w14:textId="77777777" w:rsidR="00355466" w:rsidRPr="002E7A1B" w:rsidRDefault="00355466"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Así lo resolvió el Tribunal Electoral del Estado de Aguascalientes, por unanimidad de votos de las Magistradas y Magistrado que lo integran, ante el Secretario General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355466" w:rsidRPr="005833FF" w14:paraId="2645E44F" w14:textId="77777777" w:rsidTr="00152D9A">
        <w:trPr>
          <w:trHeight w:val="1943"/>
          <w:jc w:val="center"/>
        </w:trPr>
        <w:tc>
          <w:tcPr>
            <w:tcW w:w="8929" w:type="dxa"/>
            <w:gridSpan w:val="2"/>
          </w:tcPr>
          <w:p w14:paraId="3DA9CFBE"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369392E7"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56776A7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3E3BC95F"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6A90433"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6D12E55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8F4A854"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CLAUDIA ELOISA DÍAZ DE LEÓN GONZÁLEZ</w:t>
            </w:r>
          </w:p>
          <w:p w14:paraId="2CEA45B4"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3280E428"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5BD9D3D" w14:textId="77777777" w:rsidR="00355466" w:rsidRPr="005833FF" w:rsidRDefault="00355466" w:rsidP="00152D9A">
            <w:pPr>
              <w:pBdr>
                <w:top w:val="nil"/>
                <w:left w:val="nil"/>
                <w:bottom w:val="nil"/>
                <w:right w:val="nil"/>
                <w:between w:val="nil"/>
              </w:pBdr>
              <w:jc w:val="center"/>
              <w:rPr>
                <w:rFonts w:ascii="Arial" w:eastAsia="Arial Nova" w:hAnsi="Arial" w:cs="Arial"/>
                <w:sz w:val="22"/>
                <w:szCs w:val="22"/>
              </w:rPr>
            </w:pPr>
          </w:p>
        </w:tc>
      </w:tr>
      <w:tr w:rsidR="00355466" w:rsidRPr="005833FF" w14:paraId="32B4E7DA" w14:textId="77777777" w:rsidTr="00152D9A">
        <w:trPr>
          <w:trHeight w:val="1798"/>
          <w:jc w:val="center"/>
        </w:trPr>
        <w:tc>
          <w:tcPr>
            <w:tcW w:w="4461" w:type="dxa"/>
          </w:tcPr>
          <w:p w14:paraId="6254788C"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5DA1887F"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8FE50B9"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6F6B81DA"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A616E5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56D22FCE"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467" w:type="dxa"/>
          </w:tcPr>
          <w:p w14:paraId="5880E0E1"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633FF8EB"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283D3FC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50C4075C"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B5B475E"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47CD86B0"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355466" w:rsidRPr="005833FF" w14:paraId="672996DB" w14:textId="77777777" w:rsidTr="00152D9A">
        <w:trPr>
          <w:trHeight w:val="1444"/>
          <w:jc w:val="center"/>
        </w:trPr>
        <w:tc>
          <w:tcPr>
            <w:tcW w:w="8929" w:type="dxa"/>
            <w:gridSpan w:val="2"/>
          </w:tcPr>
          <w:p w14:paraId="612F6ED5"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73BBDD02"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91A8AB1"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5A47709B"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1B7CF0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38D84BA"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418D44BD" w14:textId="77777777" w:rsidR="00355466" w:rsidRPr="005833FF" w:rsidRDefault="00355466" w:rsidP="00355466">
      <w:pPr>
        <w:pStyle w:val="Prrafodelista"/>
        <w:ind w:left="0"/>
        <w:jc w:val="both"/>
        <w:rPr>
          <w:rFonts w:ascii="Arial" w:hAnsi="Arial" w:cs="Arial"/>
          <w:sz w:val="22"/>
          <w:szCs w:val="22"/>
        </w:rPr>
      </w:pPr>
    </w:p>
    <w:p w14:paraId="6392D482" w14:textId="77777777" w:rsidR="00355466" w:rsidRPr="005833FF" w:rsidRDefault="00355466" w:rsidP="00355466">
      <w:pPr>
        <w:jc w:val="both"/>
        <w:rPr>
          <w:rFonts w:ascii="Arial" w:hAnsi="Arial" w:cs="Arial"/>
          <w:b/>
          <w:bCs/>
          <w:sz w:val="22"/>
          <w:szCs w:val="22"/>
        </w:rPr>
      </w:pPr>
    </w:p>
    <w:p w14:paraId="21197614" w14:textId="77777777" w:rsidR="00ED6B29" w:rsidRPr="00051001" w:rsidRDefault="00ED6B29" w:rsidP="00051001">
      <w:pPr>
        <w:spacing w:line="360" w:lineRule="auto"/>
        <w:jc w:val="both"/>
        <w:rPr>
          <w:rFonts w:ascii="Arial" w:hAnsi="Arial" w:cs="Arial"/>
          <w:sz w:val="22"/>
          <w:szCs w:val="22"/>
        </w:rPr>
      </w:pPr>
    </w:p>
    <w:p w14:paraId="43F52F2B" w14:textId="77777777" w:rsidR="00051001" w:rsidRPr="00051001" w:rsidRDefault="00051001" w:rsidP="00B76C30">
      <w:pPr>
        <w:spacing w:line="360" w:lineRule="auto"/>
        <w:jc w:val="both"/>
        <w:rPr>
          <w:rFonts w:ascii="Arial" w:hAnsi="Arial" w:cs="Arial"/>
          <w:sz w:val="22"/>
          <w:szCs w:val="22"/>
        </w:rPr>
      </w:pPr>
    </w:p>
    <w:p w14:paraId="187399A5"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sectPr w:rsidR="00B76C30" w:rsidRPr="00B76C30" w:rsidSect="00C27EBE">
      <w:headerReference w:type="even" r:id="rId11"/>
      <w:headerReference w:type="default" r:id="rId12"/>
      <w:footerReference w:type="even" r:id="rId13"/>
      <w:footerReference w:type="default" r:id="rId14"/>
      <w:headerReference w:type="first" r:id="rId15"/>
      <w:footerReference w:type="first" r:id="rId16"/>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50294" w14:textId="77777777" w:rsidR="008B32A8" w:rsidRDefault="008B32A8">
      <w:r>
        <w:separator/>
      </w:r>
    </w:p>
  </w:endnote>
  <w:endnote w:type="continuationSeparator" w:id="0">
    <w:p w14:paraId="2D3C9905" w14:textId="77777777" w:rsidR="008B32A8" w:rsidRDefault="008B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DF679" w14:textId="77777777" w:rsidR="008B32A8" w:rsidRDefault="008B32A8">
      <w:r>
        <w:separator/>
      </w:r>
    </w:p>
  </w:footnote>
  <w:footnote w:type="continuationSeparator" w:id="0">
    <w:p w14:paraId="2C5987FD" w14:textId="77777777" w:rsidR="008B32A8" w:rsidRDefault="008B32A8">
      <w:r>
        <w:continuationSeparator/>
      </w:r>
    </w:p>
  </w:footnote>
  <w:footnote w:id="1">
    <w:p w14:paraId="51D4F250" w14:textId="77777777" w:rsidR="00E142E6" w:rsidRPr="00834A84" w:rsidRDefault="00E142E6" w:rsidP="00E142E6">
      <w:pPr>
        <w:pBdr>
          <w:top w:val="nil"/>
          <w:left w:val="nil"/>
          <w:bottom w:val="nil"/>
          <w:right w:val="nil"/>
          <w:between w:val="nil"/>
        </w:pBdr>
        <w:jc w:val="both"/>
        <w:rPr>
          <w:rFonts w:ascii="Arial" w:eastAsia="Arial Nova" w:hAnsi="Arial" w:cs="Arial"/>
          <w:color w:val="000000"/>
          <w:sz w:val="18"/>
          <w:szCs w:val="18"/>
        </w:rPr>
      </w:pPr>
      <w:r w:rsidRPr="00834A84">
        <w:rPr>
          <w:rFonts w:ascii="Arial" w:hAnsi="Arial" w:cs="Arial"/>
          <w:sz w:val="18"/>
          <w:szCs w:val="18"/>
          <w:vertAlign w:val="superscript"/>
        </w:rPr>
        <w:footnoteRef/>
      </w:r>
      <w:r w:rsidRPr="00834A84">
        <w:rPr>
          <w:rFonts w:ascii="Arial" w:eastAsia="Arial Nova" w:hAnsi="Arial" w:cs="Arial"/>
          <w:color w:val="000000"/>
          <w:sz w:val="18"/>
          <w:szCs w:val="18"/>
        </w:rPr>
        <w:t xml:space="preserve"> Artículo 353. Procede el recurso de revisión respecto del procedimiento especial sancionador previsto en este Código, en contra: </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 De las medidas cautelares que ordene el Instituto, y</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II. Del acuerdo de desechamiento que emita el Instituto sobre una denuncia.</w:t>
      </w:r>
    </w:p>
    <w:p w14:paraId="7160C89E" w14:textId="77777777" w:rsidR="00E142E6" w:rsidRPr="00834A84" w:rsidRDefault="00E142E6" w:rsidP="00E142E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El Tribunal será competente para conocer de este recurso.</w:t>
      </w:r>
    </w:p>
    <w:p w14:paraId="28FD4245" w14:textId="77777777" w:rsidR="00E142E6" w:rsidRPr="00834A84" w:rsidRDefault="00E142E6" w:rsidP="00E142E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 xml:space="preserve">El plazo para impugnar las resoluciones del Instituto referidas en el presente artículo será de cuatro días contados a partir del día siguiente del que se haya notificado la resolución correspondiente, </w:t>
      </w:r>
      <w:r w:rsidRPr="00834A84">
        <w:rPr>
          <w:rFonts w:ascii="Arial" w:eastAsia="Arial Nova" w:hAnsi="Arial" w:cs="Arial"/>
          <w:b/>
          <w:color w:val="000000"/>
          <w:sz w:val="18"/>
          <w:szCs w:val="18"/>
        </w:rPr>
        <w:t xml:space="preserve">con excepción del recurso que se interponga en contra de las medidas cautelares emitidas por el Instituto, en cuyo caso el plazo será de cuarenta y ocho horas, </w:t>
      </w:r>
      <w:r w:rsidRPr="00834A84">
        <w:rPr>
          <w:rFonts w:ascii="Arial" w:eastAsia="Arial Nova" w:hAnsi="Arial" w:cs="Arial"/>
          <w:color w:val="000000"/>
          <w:sz w:val="18"/>
          <w:szCs w:val="18"/>
        </w:rPr>
        <w:t>contadas a partir de la imposición de dichas medidas.</w:t>
      </w:r>
    </w:p>
    <w:p w14:paraId="16E42810" w14:textId="77777777" w:rsidR="00E142E6" w:rsidRPr="00834A84" w:rsidRDefault="00E142E6" w:rsidP="00E142E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2">
    <w:p w14:paraId="0BB57C12" w14:textId="126297A9"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w:t>
      </w:r>
      <w:r w:rsidR="00624EB7">
        <w:rPr>
          <w:rFonts w:ascii="Arial" w:eastAsia="Arial Nova" w:hAnsi="Arial" w:cs="Arial"/>
          <w:sz w:val="18"/>
          <w:szCs w:val="18"/>
        </w:rPr>
        <w:t>-</w:t>
      </w:r>
      <w:r w:rsidRPr="0067335B">
        <w:rPr>
          <w:rFonts w:ascii="Arial" w:eastAsia="Arial Nova" w:hAnsi="Arial" w:cs="Arial"/>
          <w:sz w:val="18"/>
          <w:szCs w:val="18"/>
        </w:rPr>
        <w:t>JDC-9973/2020, SUP-REP-111/2020 y SG-JE-45/2020</w:t>
      </w:r>
    </w:p>
  </w:footnote>
  <w:footnote w:id="3">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4">
    <w:p w14:paraId="1AC3F267" w14:textId="77777777" w:rsidR="00B76C30" w:rsidRPr="00B76C30" w:rsidRDefault="00B76C30" w:rsidP="00B76C30">
      <w:pPr>
        <w:pStyle w:val="Textonotapie"/>
        <w:rPr>
          <w:rFonts w:ascii="Arial" w:hAnsi="Arial" w:cs="Arial"/>
        </w:rPr>
      </w:pPr>
      <w:r w:rsidRPr="00B76C30">
        <w:rPr>
          <w:rStyle w:val="Refdenotaalpie"/>
          <w:rFonts w:ascii="Arial" w:hAnsi="Arial" w:cs="Arial"/>
          <w:sz w:val="18"/>
          <w:szCs w:val="18"/>
        </w:rPr>
        <w:footnoteRef/>
      </w:r>
      <w:r w:rsidRPr="00B76C30">
        <w:rPr>
          <w:rFonts w:ascii="Arial" w:hAnsi="Arial" w:cs="Arial"/>
          <w:sz w:val="18"/>
          <w:szCs w:val="18"/>
        </w:rPr>
        <w:t xml:space="preserve"> SUP-RAP-4/2010.</w:t>
      </w:r>
    </w:p>
  </w:footnote>
  <w:footnote w:id="5">
    <w:p w14:paraId="24F0C6AD" w14:textId="2C759189" w:rsidR="00051001" w:rsidRPr="00051001" w:rsidRDefault="00051001">
      <w:pPr>
        <w:pStyle w:val="Textonotapie"/>
        <w:rPr>
          <w:rFonts w:ascii="Arial" w:hAnsi="Arial" w:cs="Arial"/>
        </w:rPr>
      </w:pPr>
      <w:r w:rsidRPr="004E0101">
        <w:rPr>
          <w:rStyle w:val="Refdenotaalpie"/>
          <w:rFonts w:ascii="Arial" w:hAnsi="Arial" w:cs="Arial"/>
          <w:sz w:val="18"/>
          <w:szCs w:val="18"/>
        </w:rPr>
        <w:footnoteRef/>
      </w:r>
      <w:r w:rsidRPr="004E0101">
        <w:rPr>
          <w:rFonts w:ascii="Arial" w:hAnsi="Arial" w:cs="Arial"/>
          <w:sz w:val="18"/>
          <w:szCs w:val="18"/>
        </w:rPr>
        <w:t xml:space="preserve"> </w:t>
      </w:r>
      <w:r w:rsidRPr="004E0101">
        <w:rPr>
          <w:rFonts w:ascii="Arial" w:hAnsi="Arial" w:cs="Arial"/>
          <w:color w:val="000000"/>
          <w:sz w:val="18"/>
          <w:szCs w:val="18"/>
        </w:rPr>
        <w:t xml:space="preserve">Ver </w:t>
      </w:r>
      <w:r w:rsidRPr="00AF4A99">
        <w:rPr>
          <w:rFonts w:ascii="Arial" w:hAnsi="Arial" w:cs="Arial"/>
          <w:b/>
          <w:bCs/>
          <w:color w:val="000000"/>
          <w:sz w:val="18"/>
          <w:szCs w:val="18"/>
        </w:rPr>
        <w:t>SUP-REC-042/2003</w:t>
      </w:r>
      <w:r w:rsidRPr="004E0101">
        <w:rPr>
          <w:rFonts w:ascii="Arial" w:hAnsi="Arial" w:cs="Arial"/>
          <w:color w:val="000000"/>
          <w:sz w:val="18"/>
          <w:szCs w:val="18"/>
        </w:rPr>
        <w:t xml:space="preserve"> y </w:t>
      </w:r>
      <w:r w:rsidRPr="00AF4A99">
        <w:rPr>
          <w:rFonts w:ascii="Arial" w:hAnsi="Arial" w:cs="Arial"/>
          <w:b/>
          <w:bCs/>
          <w:color w:val="000000"/>
          <w:sz w:val="18"/>
          <w:szCs w:val="18"/>
        </w:rPr>
        <w:t>SUP-RAP-449/2012</w:t>
      </w:r>
    </w:p>
  </w:footnote>
  <w:footnote w:id="6">
    <w:p w14:paraId="02548E1F" w14:textId="77777777" w:rsidR="00051001" w:rsidRPr="00ED6B29" w:rsidRDefault="00051001" w:rsidP="00051001">
      <w:pPr>
        <w:pStyle w:val="Textonotapie"/>
        <w:jc w:val="both"/>
        <w:rPr>
          <w:rFonts w:ascii="Arial" w:hAnsi="Arial" w:cs="Arial"/>
          <w:sz w:val="18"/>
          <w:szCs w:val="18"/>
        </w:rPr>
      </w:pPr>
      <w:r w:rsidRPr="00ED6B29">
        <w:rPr>
          <w:rStyle w:val="Refdenotaalpie"/>
          <w:rFonts w:ascii="Arial" w:hAnsi="Arial" w:cs="Arial"/>
          <w:sz w:val="18"/>
          <w:szCs w:val="18"/>
        </w:rPr>
        <w:footnoteRef/>
      </w:r>
      <w:r w:rsidRPr="00ED6B29">
        <w:rPr>
          <w:rFonts w:ascii="Arial" w:hAnsi="Arial" w:cs="Arial"/>
          <w:sz w:val="18"/>
          <w:szCs w:val="18"/>
        </w:rPr>
        <w:t xml:space="preserve"> Con base en la Jurisprudencia de la Sala Superior 42/2016, de rubro: </w:t>
      </w:r>
      <w:r w:rsidRPr="00ED6B29">
        <w:rPr>
          <w:rFonts w:ascii="Arial" w:hAnsi="Arial" w:cs="Arial"/>
          <w:b/>
          <w:bCs/>
          <w:sz w:val="18"/>
          <w:szCs w:val="18"/>
        </w:rPr>
        <w:t>VEDA ELECTORAL. FINALIDADES Y ELEMENTOS QUE DEBEN CONFIGURARSE PARA ACTUALIZAR UNA VIOLACIÓN A LAS PROHIBICIONES LEGALES RELACIONADAS</w:t>
      </w:r>
      <w:r w:rsidRPr="00ED6B29">
        <w:rPr>
          <w:rFonts w:ascii="Arial" w:hAnsi="Arial" w:cs="Arial"/>
          <w:sz w:val="18"/>
          <w:szCs w:val="18"/>
        </w:rPr>
        <w:t>.</w:t>
      </w:r>
    </w:p>
  </w:footnote>
  <w:footnote w:id="7">
    <w:p w14:paraId="7351A551" w14:textId="77777777" w:rsidR="00ED6B29" w:rsidRDefault="00ED6B29" w:rsidP="00ED6B29">
      <w:pPr>
        <w:pStyle w:val="Textonotapie"/>
        <w:jc w:val="both"/>
      </w:pPr>
      <w:r w:rsidRPr="00ED6B29">
        <w:rPr>
          <w:rStyle w:val="Refdenotaalpie"/>
          <w:rFonts w:ascii="Arial" w:hAnsi="Arial" w:cs="Arial"/>
          <w:sz w:val="18"/>
          <w:szCs w:val="18"/>
        </w:rPr>
        <w:footnoteRef/>
      </w:r>
      <w:r w:rsidRPr="00ED6B29">
        <w:rPr>
          <w:rFonts w:ascii="Arial" w:hAnsi="Arial" w:cs="Arial"/>
          <w:sz w:val="18"/>
          <w:szCs w:val="18"/>
        </w:rPr>
        <w:t xml:space="preserve"> Como lo sostuvo la Sala Superior en la Tesis LXX/2016, de rubro: </w:t>
      </w:r>
      <w:r w:rsidRPr="00ED6B29">
        <w:rPr>
          <w:rFonts w:ascii="Arial" w:hAnsi="Arial" w:cs="Arial"/>
          <w:b/>
          <w:bCs/>
          <w:sz w:val="18"/>
          <w:szCs w:val="18"/>
        </w:rPr>
        <w:t>VEDA ELECTORAL. LAS PROHIBICIONES IMPUESTAS DURANTE ESTA ETAPA CONSTITUYEN LÍMITES RAZONABLES A LA LIBERTAD DE EXPRESIÓN DE LOS CANDIDATOS Y ABARCAN LOS MENSAJES DIFUNDIDOS POR INTERNET</w:t>
      </w:r>
      <w:r w:rsidRPr="00ED6B29">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61A7A86F" w:rsidR="002F5D1B" w:rsidRDefault="00BA7F96">
    <w:pPr>
      <w:pBdr>
        <w:top w:val="nil"/>
        <w:left w:val="nil"/>
        <w:bottom w:val="nil"/>
        <w:right w:val="nil"/>
        <w:between w:val="nil"/>
      </w:pBdr>
      <w:tabs>
        <w:tab w:val="center" w:pos="4419"/>
        <w:tab w:val="right" w:pos="8838"/>
      </w:tabs>
      <w:rPr>
        <w:color w:val="000000"/>
      </w:rPr>
    </w:pPr>
    <w:r>
      <w:rPr>
        <w:noProof/>
      </w:rPr>
      <w:pict w14:anchorId="4E7B0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86501"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68B62973" w:rsidR="002F5D1B" w:rsidRDefault="00BA7F96">
    <w:pPr>
      <w:pBdr>
        <w:top w:val="nil"/>
        <w:left w:val="nil"/>
        <w:bottom w:val="nil"/>
        <w:right w:val="nil"/>
        <w:between w:val="nil"/>
      </w:pBdr>
      <w:tabs>
        <w:tab w:val="center" w:pos="4419"/>
        <w:tab w:val="right" w:pos="8838"/>
      </w:tabs>
      <w:rPr>
        <w:color w:val="000000"/>
      </w:rPr>
    </w:pPr>
    <w:r>
      <w:rPr>
        <w:noProof/>
      </w:rPr>
      <w:pict w14:anchorId="32E726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86502"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7D8DBD86" w:rsidR="002F5D1B" w:rsidRDefault="00BA7F96">
    <w:pPr>
      <w:pBdr>
        <w:top w:val="nil"/>
        <w:left w:val="nil"/>
        <w:bottom w:val="nil"/>
        <w:right w:val="nil"/>
        <w:between w:val="nil"/>
      </w:pBdr>
      <w:tabs>
        <w:tab w:val="center" w:pos="4419"/>
        <w:tab w:val="right" w:pos="8838"/>
      </w:tabs>
      <w:rPr>
        <w:color w:val="000000"/>
      </w:rPr>
    </w:pPr>
    <w:r>
      <w:rPr>
        <w:noProof/>
      </w:rPr>
      <w:pict w14:anchorId="2242F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86500"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B46CE"/>
    <w:multiLevelType w:val="hybridMultilevel"/>
    <w:tmpl w:val="98B60484"/>
    <w:lvl w:ilvl="0" w:tplc="B0EE3D62">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C010D3"/>
    <w:multiLevelType w:val="hybridMultilevel"/>
    <w:tmpl w:val="31FAC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4" w15:restartNumberingAfterBreak="0">
    <w:nsid w:val="15230A1C"/>
    <w:multiLevelType w:val="hybridMultilevel"/>
    <w:tmpl w:val="396EB7B4"/>
    <w:lvl w:ilvl="0" w:tplc="C1F2D148">
      <w:start w:val="1"/>
      <w:numFmt w:val="low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5B399A"/>
    <w:multiLevelType w:val="hybridMultilevel"/>
    <w:tmpl w:val="9C0C1AA4"/>
    <w:lvl w:ilvl="0" w:tplc="FE4C3F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980210"/>
    <w:multiLevelType w:val="hybridMultilevel"/>
    <w:tmpl w:val="C6F400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C54EB1"/>
    <w:multiLevelType w:val="hybridMultilevel"/>
    <w:tmpl w:val="D09EB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15535A3"/>
    <w:multiLevelType w:val="hybridMultilevel"/>
    <w:tmpl w:val="988808D0"/>
    <w:lvl w:ilvl="0" w:tplc="956A7FC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3205720"/>
    <w:multiLevelType w:val="hybridMultilevel"/>
    <w:tmpl w:val="171E37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2E4E53"/>
    <w:multiLevelType w:val="hybridMultilevel"/>
    <w:tmpl w:val="367CB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9"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CD47E9"/>
    <w:multiLevelType w:val="hybridMultilevel"/>
    <w:tmpl w:val="D71AB72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5973614E"/>
    <w:multiLevelType w:val="hybridMultilevel"/>
    <w:tmpl w:val="79B0CB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EA4778"/>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5829E8"/>
    <w:multiLevelType w:val="hybridMultilevel"/>
    <w:tmpl w:val="68AA98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8"/>
  </w:num>
  <w:num w:numId="4">
    <w:abstractNumId w:val="13"/>
  </w:num>
  <w:num w:numId="5">
    <w:abstractNumId w:val="15"/>
  </w:num>
  <w:num w:numId="6">
    <w:abstractNumId w:val="3"/>
  </w:num>
  <w:num w:numId="7">
    <w:abstractNumId w:val="28"/>
  </w:num>
  <w:num w:numId="8">
    <w:abstractNumId w:val="11"/>
  </w:num>
  <w:num w:numId="9">
    <w:abstractNumId w:val="24"/>
  </w:num>
  <w:num w:numId="10">
    <w:abstractNumId w:val="10"/>
  </w:num>
  <w:num w:numId="11">
    <w:abstractNumId w:val="22"/>
  </w:num>
  <w:num w:numId="12">
    <w:abstractNumId w:val="0"/>
  </w:num>
  <w:num w:numId="13">
    <w:abstractNumId w:val="23"/>
  </w:num>
  <w:num w:numId="14">
    <w:abstractNumId w:val="25"/>
  </w:num>
  <w:num w:numId="15">
    <w:abstractNumId w:val="14"/>
  </w:num>
  <w:num w:numId="16">
    <w:abstractNumId w:val="19"/>
  </w:num>
  <w:num w:numId="17">
    <w:abstractNumId w:val="5"/>
  </w:num>
  <w:num w:numId="18">
    <w:abstractNumId w:val="7"/>
  </w:num>
  <w:num w:numId="19">
    <w:abstractNumId w:val="29"/>
  </w:num>
  <w:num w:numId="20">
    <w:abstractNumId w:val="1"/>
  </w:num>
  <w:num w:numId="21">
    <w:abstractNumId w:val="27"/>
  </w:num>
  <w:num w:numId="22">
    <w:abstractNumId w:val="2"/>
  </w:num>
  <w:num w:numId="23">
    <w:abstractNumId w:val="17"/>
  </w:num>
  <w:num w:numId="24">
    <w:abstractNumId w:val="21"/>
  </w:num>
  <w:num w:numId="25">
    <w:abstractNumId w:val="4"/>
  </w:num>
  <w:num w:numId="26">
    <w:abstractNumId w:val="20"/>
  </w:num>
  <w:num w:numId="27">
    <w:abstractNumId w:val="16"/>
  </w:num>
  <w:num w:numId="28">
    <w:abstractNumId w:val="12"/>
  </w:num>
  <w:num w:numId="29">
    <w:abstractNumId w:val="6"/>
  </w:num>
  <w:num w:numId="3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0670E"/>
    <w:rsid w:val="0001208F"/>
    <w:rsid w:val="00012182"/>
    <w:rsid w:val="00012205"/>
    <w:rsid w:val="00016743"/>
    <w:rsid w:val="000171A3"/>
    <w:rsid w:val="00024E77"/>
    <w:rsid w:val="000305C2"/>
    <w:rsid w:val="00030C15"/>
    <w:rsid w:val="0003259E"/>
    <w:rsid w:val="00032C5E"/>
    <w:rsid w:val="0003517A"/>
    <w:rsid w:val="0003650B"/>
    <w:rsid w:val="00040844"/>
    <w:rsid w:val="00041BB5"/>
    <w:rsid w:val="00043AEC"/>
    <w:rsid w:val="000441A8"/>
    <w:rsid w:val="0004455E"/>
    <w:rsid w:val="00051001"/>
    <w:rsid w:val="00060E15"/>
    <w:rsid w:val="0006127B"/>
    <w:rsid w:val="00063BCA"/>
    <w:rsid w:val="000659D4"/>
    <w:rsid w:val="00070ABA"/>
    <w:rsid w:val="00071182"/>
    <w:rsid w:val="00073638"/>
    <w:rsid w:val="000754CB"/>
    <w:rsid w:val="0007651F"/>
    <w:rsid w:val="00085CAE"/>
    <w:rsid w:val="00087E7E"/>
    <w:rsid w:val="00090A89"/>
    <w:rsid w:val="00097CA8"/>
    <w:rsid w:val="000A2E34"/>
    <w:rsid w:val="000B0829"/>
    <w:rsid w:val="000B511B"/>
    <w:rsid w:val="000C6AF8"/>
    <w:rsid w:val="000D0078"/>
    <w:rsid w:val="000D1289"/>
    <w:rsid w:val="000D55AB"/>
    <w:rsid w:val="000D654D"/>
    <w:rsid w:val="00101AC0"/>
    <w:rsid w:val="00103C98"/>
    <w:rsid w:val="00104498"/>
    <w:rsid w:val="00107DDF"/>
    <w:rsid w:val="0011270E"/>
    <w:rsid w:val="00112F72"/>
    <w:rsid w:val="00113035"/>
    <w:rsid w:val="00114B3E"/>
    <w:rsid w:val="001231D0"/>
    <w:rsid w:val="00123CF7"/>
    <w:rsid w:val="00126C07"/>
    <w:rsid w:val="00130C02"/>
    <w:rsid w:val="0014156F"/>
    <w:rsid w:val="001457EF"/>
    <w:rsid w:val="00147B61"/>
    <w:rsid w:val="00151E88"/>
    <w:rsid w:val="00152A9E"/>
    <w:rsid w:val="00160FF1"/>
    <w:rsid w:val="001618A9"/>
    <w:rsid w:val="001622E7"/>
    <w:rsid w:val="00165F76"/>
    <w:rsid w:val="0016677E"/>
    <w:rsid w:val="00174406"/>
    <w:rsid w:val="00176E4B"/>
    <w:rsid w:val="00180969"/>
    <w:rsid w:val="001823DF"/>
    <w:rsid w:val="001848E8"/>
    <w:rsid w:val="00190AC3"/>
    <w:rsid w:val="0019136E"/>
    <w:rsid w:val="00191506"/>
    <w:rsid w:val="0019310A"/>
    <w:rsid w:val="0019762A"/>
    <w:rsid w:val="00197EA2"/>
    <w:rsid w:val="00197F90"/>
    <w:rsid w:val="001A1EA0"/>
    <w:rsid w:val="001A3929"/>
    <w:rsid w:val="001B3A7E"/>
    <w:rsid w:val="001B48BF"/>
    <w:rsid w:val="001B4D78"/>
    <w:rsid w:val="001C0691"/>
    <w:rsid w:val="001C140D"/>
    <w:rsid w:val="001C3B12"/>
    <w:rsid w:val="001C4650"/>
    <w:rsid w:val="001D33B4"/>
    <w:rsid w:val="001D5F42"/>
    <w:rsid w:val="001D7982"/>
    <w:rsid w:val="001E3B3D"/>
    <w:rsid w:val="001E4C37"/>
    <w:rsid w:val="001F5FA2"/>
    <w:rsid w:val="001F663D"/>
    <w:rsid w:val="00200532"/>
    <w:rsid w:val="002011BB"/>
    <w:rsid w:val="002014B6"/>
    <w:rsid w:val="00202181"/>
    <w:rsid w:val="00203911"/>
    <w:rsid w:val="00205901"/>
    <w:rsid w:val="00206B04"/>
    <w:rsid w:val="0020740D"/>
    <w:rsid w:val="00210D94"/>
    <w:rsid w:val="0021442E"/>
    <w:rsid w:val="00220E58"/>
    <w:rsid w:val="002230C5"/>
    <w:rsid w:val="00227A7C"/>
    <w:rsid w:val="0023397C"/>
    <w:rsid w:val="00234604"/>
    <w:rsid w:val="00234771"/>
    <w:rsid w:val="002355BD"/>
    <w:rsid w:val="0023714E"/>
    <w:rsid w:val="00244EAA"/>
    <w:rsid w:val="002453F1"/>
    <w:rsid w:val="00245599"/>
    <w:rsid w:val="00247E31"/>
    <w:rsid w:val="00251432"/>
    <w:rsid w:val="002546E2"/>
    <w:rsid w:val="002546E7"/>
    <w:rsid w:val="00266333"/>
    <w:rsid w:val="00266A85"/>
    <w:rsid w:val="00267D0D"/>
    <w:rsid w:val="00274430"/>
    <w:rsid w:val="0027552A"/>
    <w:rsid w:val="002771D5"/>
    <w:rsid w:val="00283ADE"/>
    <w:rsid w:val="00283D74"/>
    <w:rsid w:val="00284954"/>
    <w:rsid w:val="00285308"/>
    <w:rsid w:val="00292B4C"/>
    <w:rsid w:val="00293798"/>
    <w:rsid w:val="00295F0F"/>
    <w:rsid w:val="0029610D"/>
    <w:rsid w:val="00296560"/>
    <w:rsid w:val="0029764D"/>
    <w:rsid w:val="002A0349"/>
    <w:rsid w:val="002A3E88"/>
    <w:rsid w:val="002B0510"/>
    <w:rsid w:val="002B0639"/>
    <w:rsid w:val="002B2074"/>
    <w:rsid w:val="002B562A"/>
    <w:rsid w:val="002B7C69"/>
    <w:rsid w:val="002C3450"/>
    <w:rsid w:val="002C4335"/>
    <w:rsid w:val="002D2E5F"/>
    <w:rsid w:val="002D41BD"/>
    <w:rsid w:val="002D4E0B"/>
    <w:rsid w:val="002D5592"/>
    <w:rsid w:val="002D69C6"/>
    <w:rsid w:val="002D6D71"/>
    <w:rsid w:val="002E0246"/>
    <w:rsid w:val="002E1A3B"/>
    <w:rsid w:val="002E3E1E"/>
    <w:rsid w:val="002E7A1B"/>
    <w:rsid w:val="002F0D72"/>
    <w:rsid w:val="002F10B3"/>
    <w:rsid w:val="002F2792"/>
    <w:rsid w:val="002F4304"/>
    <w:rsid w:val="002F5D1B"/>
    <w:rsid w:val="00301AD7"/>
    <w:rsid w:val="0030278F"/>
    <w:rsid w:val="00315B45"/>
    <w:rsid w:val="00316B96"/>
    <w:rsid w:val="00316FA7"/>
    <w:rsid w:val="00320A0F"/>
    <w:rsid w:val="00323763"/>
    <w:rsid w:val="00323BC4"/>
    <w:rsid w:val="0032412B"/>
    <w:rsid w:val="00324DD5"/>
    <w:rsid w:val="00324F92"/>
    <w:rsid w:val="0033387D"/>
    <w:rsid w:val="003365D2"/>
    <w:rsid w:val="003375CD"/>
    <w:rsid w:val="00345EF4"/>
    <w:rsid w:val="003464F9"/>
    <w:rsid w:val="00351A40"/>
    <w:rsid w:val="00352123"/>
    <w:rsid w:val="00352669"/>
    <w:rsid w:val="00354AD5"/>
    <w:rsid w:val="00354FC1"/>
    <w:rsid w:val="00355466"/>
    <w:rsid w:val="00355CCE"/>
    <w:rsid w:val="003579B3"/>
    <w:rsid w:val="00361D36"/>
    <w:rsid w:val="00362E84"/>
    <w:rsid w:val="003638B0"/>
    <w:rsid w:val="00364B70"/>
    <w:rsid w:val="00364BB5"/>
    <w:rsid w:val="003650C4"/>
    <w:rsid w:val="0036546A"/>
    <w:rsid w:val="00366A41"/>
    <w:rsid w:val="0037055E"/>
    <w:rsid w:val="00370D97"/>
    <w:rsid w:val="003712C7"/>
    <w:rsid w:val="00373785"/>
    <w:rsid w:val="00374E9C"/>
    <w:rsid w:val="003752F3"/>
    <w:rsid w:val="00380075"/>
    <w:rsid w:val="00382681"/>
    <w:rsid w:val="003833A2"/>
    <w:rsid w:val="00384D54"/>
    <w:rsid w:val="003A28B9"/>
    <w:rsid w:val="003A28F5"/>
    <w:rsid w:val="003A5FB2"/>
    <w:rsid w:val="003A6509"/>
    <w:rsid w:val="003A6F50"/>
    <w:rsid w:val="003B0882"/>
    <w:rsid w:val="003B09D0"/>
    <w:rsid w:val="003B1F90"/>
    <w:rsid w:val="003B554E"/>
    <w:rsid w:val="003C1558"/>
    <w:rsid w:val="003C245F"/>
    <w:rsid w:val="003C2DC3"/>
    <w:rsid w:val="003C31A7"/>
    <w:rsid w:val="003C3821"/>
    <w:rsid w:val="003C5204"/>
    <w:rsid w:val="003C57B8"/>
    <w:rsid w:val="003C78B6"/>
    <w:rsid w:val="003D176B"/>
    <w:rsid w:val="003D1FD8"/>
    <w:rsid w:val="003D205E"/>
    <w:rsid w:val="003D3EBF"/>
    <w:rsid w:val="003D56A4"/>
    <w:rsid w:val="003D71E3"/>
    <w:rsid w:val="003E30C4"/>
    <w:rsid w:val="003E7F72"/>
    <w:rsid w:val="003F4090"/>
    <w:rsid w:val="003F44E4"/>
    <w:rsid w:val="004021EB"/>
    <w:rsid w:val="0040639F"/>
    <w:rsid w:val="004077A4"/>
    <w:rsid w:val="00411890"/>
    <w:rsid w:val="00413640"/>
    <w:rsid w:val="00413DA3"/>
    <w:rsid w:val="00420F50"/>
    <w:rsid w:val="0042129F"/>
    <w:rsid w:val="0042298B"/>
    <w:rsid w:val="0042364F"/>
    <w:rsid w:val="004277C6"/>
    <w:rsid w:val="00427E0A"/>
    <w:rsid w:val="004307F0"/>
    <w:rsid w:val="004412E4"/>
    <w:rsid w:val="0044159D"/>
    <w:rsid w:val="00445FBB"/>
    <w:rsid w:val="004512FB"/>
    <w:rsid w:val="004527D4"/>
    <w:rsid w:val="00457A67"/>
    <w:rsid w:val="00463DEF"/>
    <w:rsid w:val="004703AE"/>
    <w:rsid w:val="004716F4"/>
    <w:rsid w:val="00471B79"/>
    <w:rsid w:val="00473405"/>
    <w:rsid w:val="00481A2B"/>
    <w:rsid w:val="00487633"/>
    <w:rsid w:val="004876B9"/>
    <w:rsid w:val="00487E94"/>
    <w:rsid w:val="00494BAF"/>
    <w:rsid w:val="00495F9B"/>
    <w:rsid w:val="004A0946"/>
    <w:rsid w:val="004A2059"/>
    <w:rsid w:val="004A21CC"/>
    <w:rsid w:val="004A64C5"/>
    <w:rsid w:val="004B7363"/>
    <w:rsid w:val="004C3316"/>
    <w:rsid w:val="004C6365"/>
    <w:rsid w:val="004D01B9"/>
    <w:rsid w:val="004D4E38"/>
    <w:rsid w:val="004D5450"/>
    <w:rsid w:val="004D5F31"/>
    <w:rsid w:val="004E0101"/>
    <w:rsid w:val="004F15D4"/>
    <w:rsid w:val="00502E47"/>
    <w:rsid w:val="00511240"/>
    <w:rsid w:val="00513506"/>
    <w:rsid w:val="005159A6"/>
    <w:rsid w:val="00517E78"/>
    <w:rsid w:val="00522B30"/>
    <w:rsid w:val="00523E63"/>
    <w:rsid w:val="00526BA6"/>
    <w:rsid w:val="005322AD"/>
    <w:rsid w:val="005337D4"/>
    <w:rsid w:val="00535ABD"/>
    <w:rsid w:val="00541486"/>
    <w:rsid w:val="0054791B"/>
    <w:rsid w:val="00547A1E"/>
    <w:rsid w:val="00552E19"/>
    <w:rsid w:val="0055548D"/>
    <w:rsid w:val="005555E4"/>
    <w:rsid w:val="00565758"/>
    <w:rsid w:val="00565D46"/>
    <w:rsid w:val="00567CFB"/>
    <w:rsid w:val="00580866"/>
    <w:rsid w:val="005814ED"/>
    <w:rsid w:val="0058198F"/>
    <w:rsid w:val="005833FF"/>
    <w:rsid w:val="005A7F34"/>
    <w:rsid w:val="005B0DF8"/>
    <w:rsid w:val="005B203E"/>
    <w:rsid w:val="005B6B60"/>
    <w:rsid w:val="005C192D"/>
    <w:rsid w:val="005C3E35"/>
    <w:rsid w:val="005C7AAF"/>
    <w:rsid w:val="005D4987"/>
    <w:rsid w:val="005D55A9"/>
    <w:rsid w:val="005D5DAB"/>
    <w:rsid w:val="005E25E0"/>
    <w:rsid w:val="005E7788"/>
    <w:rsid w:val="005F07D7"/>
    <w:rsid w:val="005F6C55"/>
    <w:rsid w:val="006042B0"/>
    <w:rsid w:val="00611B5B"/>
    <w:rsid w:val="0061209A"/>
    <w:rsid w:val="006122AD"/>
    <w:rsid w:val="006128E4"/>
    <w:rsid w:val="00613CA4"/>
    <w:rsid w:val="006169B7"/>
    <w:rsid w:val="0061736D"/>
    <w:rsid w:val="006174F4"/>
    <w:rsid w:val="006212A2"/>
    <w:rsid w:val="006231F0"/>
    <w:rsid w:val="006237AD"/>
    <w:rsid w:val="00624EB7"/>
    <w:rsid w:val="00624FD6"/>
    <w:rsid w:val="006312A8"/>
    <w:rsid w:val="006335FE"/>
    <w:rsid w:val="00633D0F"/>
    <w:rsid w:val="006369BC"/>
    <w:rsid w:val="0064176C"/>
    <w:rsid w:val="006419E3"/>
    <w:rsid w:val="006510DB"/>
    <w:rsid w:val="00655FEF"/>
    <w:rsid w:val="006652A7"/>
    <w:rsid w:val="006725D0"/>
    <w:rsid w:val="0067335B"/>
    <w:rsid w:val="00676104"/>
    <w:rsid w:val="006800B9"/>
    <w:rsid w:val="0068150C"/>
    <w:rsid w:val="00682312"/>
    <w:rsid w:val="00684459"/>
    <w:rsid w:val="00685D00"/>
    <w:rsid w:val="00686106"/>
    <w:rsid w:val="006909F5"/>
    <w:rsid w:val="00693417"/>
    <w:rsid w:val="006A00BB"/>
    <w:rsid w:val="006A2199"/>
    <w:rsid w:val="006A443F"/>
    <w:rsid w:val="006A65AD"/>
    <w:rsid w:val="006B62FE"/>
    <w:rsid w:val="006B7F97"/>
    <w:rsid w:val="006C198E"/>
    <w:rsid w:val="006C5C18"/>
    <w:rsid w:val="006D13F8"/>
    <w:rsid w:val="006D2B8B"/>
    <w:rsid w:val="006F1664"/>
    <w:rsid w:val="006F2D2F"/>
    <w:rsid w:val="006F2F30"/>
    <w:rsid w:val="006F47E4"/>
    <w:rsid w:val="0071220F"/>
    <w:rsid w:val="00713D72"/>
    <w:rsid w:val="007169D2"/>
    <w:rsid w:val="00716BD4"/>
    <w:rsid w:val="00722B62"/>
    <w:rsid w:val="00730A34"/>
    <w:rsid w:val="00732D4D"/>
    <w:rsid w:val="007360B5"/>
    <w:rsid w:val="007405F5"/>
    <w:rsid w:val="00743DEE"/>
    <w:rsid w:val="00745D50"/>
    <w:rsid w:val="00745D70"/>
    <w:rsid w:val="00756527"/>
    <w:rsid w:val="0076173A"/>
    <w:rsid w:val="0076190E"/>
    <w:rsid w:val="0076500A"/>
    <w:rsid w:val="00767A1F"/>
    <w:rsid w:val="0077558D"/>
    <w:rsid w:val="007774D3"/>
    <w:rsid w:val="0078220C"/>
    <w:rsid w:val="00785F87"/>
    <w:rsid w:val="007871AC"/>
    <w:rsid w:val="007906CB"/>
    <w:rsid w:val="00793C57"/>
    <w:rsid w:val="00793F07"/>
    <w:rsid w:val="00795354"/>
    <w:rsid w:val="007A0054"/>
    <w:rsid w:val="007A675D"/>
    <w:rsid w:val="007B0681"/>
    <w:rsid w:val="007B5902"/>
    <w:rsid w:val="007C448F"/>
    <w:rsid w:val="007C4DAC"/>
    <w:rsid w:val="007C5912"/>
    <w:rsid w:val="007C7B5C"/>
    <w:rsid w:val="007D471D"/>
    <w:rsid w:val="007D6325"/>
    <w:rsid w:val="007D66FD"/>
    <w:rsid w:val="007E4479"/>
    <w:rsid w:val="007E6C40"/>
    <w:rsid w:val="007E6D4E"/>
    <w:rsid w:val="007F08CC"/>
    <w:rsid w:val="007F27E9"/>
    <w:rsid w:val="007F2D90"/>
    <w:rsid w:val="007F49CE"/>
    <w:rsid w:val="008058D1"/>
    <w:rsid w:val="0081090E"/>
    <w:rsid w:val="008114D0"/>
    <w:rsid w:val="00813C02"/>
    <w:rsid w:val="008155D6"/>
    <w:rsid w:val="00816316"/>
    <w:rsid w:val="008237DC"/>
    <w:rsid w:val="00827CB0"/>
    <w:rsid w:val="008340FA"/>
    <w:rsid w:val="00834A84"/>
    <w:rsid w:val="008362E3"/>
    <w:rsid w:val="008403C4"/>
    <w:rsid w:val="008406CC"/>
    <w:rsid w:val="0084283C"/>
    <w:rsid w:val="00844BB8"/>
    <w:rsid w:val="00850AB1"/>
    <w:rsid w:val="0085138F"/>
    <w:rsid w:val="00862BE4"/>
    <w:rsid w:val="00863267"/>
    <w:rsid w:val="00863858"/>
    <w:rsid w:val="0087254B"/>
    <w:rsid w:val="00872B77"/>
    <w:rsid w:val="00876C07"/>
    <w:rsid w:val="008778FC"/>
    <w:rsid w:val="00881C30"/>
    <w:rsid w:val="008821A4"/>
    <w:rsid w:val="00883003"/>
    <w:rsid w:val="00884A20"/>
    <w:rsid w:val="00885D6E"/>
    <w:rsid w:val="0088768A"/>
    <w:rsid w:val="00890653"/>
    <w:rsid w:val="00892D22"/>
    <w:rsid w:val="00897D7F"/>
    <w:rsid w:val="008A26F0"/>
    <w:rsid w:val="008B2F06"/>
    <w:rsid w:val="008B329A"/>
    <w:rsid w:val="008B32A8"/>
    <w:rsid w:val="008B33B1"/>
    <w:rsid w:val="008B33CF"/>
    <w:rsid w:val="008B736E"/>
    <w:rsid w:val="008C05D7"/>
    <w:rsid w:val="008C2DA6"/>
    <w:rsid w:val="008D22ED"/>
    <w:rsid w:val="008D290D"/>
    <w:rsid w:val="008D7F50"/>
    <w:rsid w:val="008E1CA2"/>
    <w:rsid w:val="008E2E6C"/>
    <w:rsid w:val="008E4F8B"/>
    <w:rsid w:val="008F00FB"/>
    <w:rsid w:val="008F5154"/>
    <w:rsid w:val="008F741F"/>
    <w:rsid w:val="009028B4"/>
    <w:rsid w:val="00902E73"/>
    <w:rsid w:val="0090308D"/>
    <w:rsid w:val="00904B5E"/>
    <w:rsid w:val="0090583F"/>
    <w:rsid w:val="009068E1"/>
    <w:rsid w:val="009137FF"/>
    <w:rsid w:val="00913BDA"/>
    <w:rsid w:val="00917368"/>
    <w:rsid w:val="0091792D"/>
    <w:rsid w:val="00920C4A"/>
    <w:rsid w:val="00925068"/>
    <w:rsid w:val="0092552B"/>
    <w:rsid w:val="0092664F"/>
    <w:rsid w:val="0092727F"/>
    <w:rsid w:val="00931FB1"/>
    <w:rsid w:val="00932EBD"/>
    <w:rsid w:val="0093320F"/>
    <w:rsid w:val="00934394"/>
    <w:rsid w:val="009344C2"/>
    <w:rsid w:val="009354E5"/>
    <w:rsid w:val="00941507"/>
    <w:rsid w:val="00942353"/>
    <w:rsid w:val="00945F34"/>
    <w:rsid w:val="009460F9"/>
    <w:rsid w:val="0094762C"/>
    <w:rsid w:val="009508D3"/>
    <w:rsid w:val="00952E3C"/>
    <w:rsid w:val="00954BB1"/>
    <w:rsid w:val="00954D66"/>
    <w:rsid w:val="0095510F"/>
    <w:rsid w:val="00955D84"/>
    <w:rsid w:val="009605FE"/>
    <w:rsid w:val="00960FCE"/>
    <w:rsid w:val="00965171"/>
    <w:rsid w:val="00970BAC"/>
    <w:rsid w:val="00970BB9"/>
    <w:rsid w:val="0097299E"/>
    <w:rsid w:val="00972E69"/>
    <w:rsid w:val="009735B6"/>
    <w:rsid w:val="00975017"/>
    <w:rsid w:val="00982206"/>
    <w:rsid w:val="009830F0"/>
    <w:rsid w:val="00983E31"/>
    <w:rsid w:val="00984CD6"/>
    <w:rsid w:val="00985FD5"/>
    <w:rsid w:val="0098613E"/>
    <w:rsid w:val="00986DA7"/>
    <w:rsid w:val="00991235"/>
    <w:rsid w:val="00991B72"/>
    <w:rsid w:val="00993143"/>
    <w:rsid w:val="00995A3A"/>
    <w:rsid w:val="009A2C31"/>
    <w:rsid w:val="009A4237"/>
    <w:rsid w:val="009B1578"/>
    <w:rsid w:val="009B2FCC"/>
    <w:rsid w:val="009B4CEE"/>
    <w:rsid w:val="009B77BD"/>
    <w:rsid w:val="009C03F3"/>
    <w:rsid w:val="009C3F4C"/>
    <w:rsid w:val="009C6BAC"/>
    <w:rsid w:val="009C7A87"/>
    <w:rsid w:val="009D5A84"/>
    <w:rsid w:val="009E3BAD"/>
    <w:rsid w:val="009F412C"/>
    <w:rsid w:val="00A023F0"/>
    <w:rsid w:val="00A02463"/>
    <w:rsid w:val="00A05051"/>
    <w:rsid w:val="00A124C0"/>
    <w:rsid w:val="00A125AE"/>
    <w:rsid w:val="00A152B7"/>
    <w:rsid w:val="00A159B3"/>
    <w:rsid w:val="00A17464"/>
    <w:rsid w:val="00A21722"/>
    <w:rsid w:val="00A230E3"/>
    <w:rsid w:val="00A2704D"/>
    <w:rsid w:val="00A340AA"/>
    <w:rsid w:val="00A35C1F"/>
    <w:rsid w:val="00A36536"/>
    <w:rsid w:val="00A40152"/>
    <w:rsid w:val="00A42858"/>
    <w:rsid w:val="00A42C2F"/>
    <w:rsid w:val="00A431F4"/>
    <w:rsid w:val="00A433BF"/>
    <w:rsid w:val="00A442C4"/>
    <w:rsid w:val="00A463EE"/>
    <w:rsid w:val="00A471EB"/>
    <w:rsid w:val="00A50821"/>
    <w:rsid w:val="00A5213C"/>
    <w:rsid w:val="00A629E8"/>
    <w:rsid w:val="00A62B7E"/>
    <w:rsid w:val="00A663E5"/>
    <w:rsid w:val="00A7089F"/>
    <w:rsid w:val="00A7224F"/>
    <w:rsid w:val="00A72B89"/>
    <w:rsid w:val="00A746A3"/>
    <w:rsid w:val="00A76FB3"/>
    <w:rsid w:val="00A7752C"/>
    <w:rsid w:val="00A77E7A"/>
    <w:rsid w:val="00A80836"/>
    <w:rsid w:val="00A85EED"/>
    <w:rsid w:val="00A8634A"/>
    <w:rsid w:val="00A876FC"/>
    <w:rsid w:val="00A924BD"/>
    <w:rsid w:val="00AA0677"/>
    <w:rsid w:val="00AA1622"/>
    <w:rsid w:val="00AA46EC"/>
    <w:rsid w:val="00AA4896"/>
    <w:rsid w:val="00AA6A26"/>
    <w:rsid w:val="00AA7636"/>
    <w:rsid w:val="00AA7803"/>
    <w:rsid w:val="00AB1119"/>
    <w:rsid w:val="00AB13BE"/>
    <w:rsid w:val="00AB26E0"/>
    <w:rsid w:val="00AB3CCE"/>
    <w:rsid w:val="00AB3DA4"/>
    <w:rsid w:val="00AB4223"/>
    <w:rsid w:val="00AC22A3"/>
    <w:rsid w:val="00AC6E6D"/>
    <w:rsid w:val="00AD3DBB"/>
    <w:rsid w:val="00AD48BD"/>
    <w:rsid w:val="00AD4D98"/>
    <w:rsid w:val="00AD5426"/>
    <w:rsid w:val="00AE3318"/>
    <w:rsid w:val="00AE393A"/>
    <w:rsid w:val="00AE3943"/>
    <w:rsid w:val="00AE3D5C"/>
    <w:rsid w:val="00AE4366"/>
    <w:rsid w:val="00AE4D00"/>
    <w:rsid w:val="00AE6480"/>
    <w:rsid w:val="00AE7DB8"/>
    <w:rsid w:val="00AF09F5"/>
    <w:rsid w:val="00AF4A99"/>
    <w:rsid w:val="00AF4E81"/>
    <w:rsid w:val="00AF5CE0"/>
    <w:rsid w:val="00B02CE7"/>
    <w:rsid w:val="00B04D4E"/>
    <w:rsid w:val="00B07496"/>
    <w:rsid w:val="00B10138"/>
    <w:rsid w:val="00B11869"/>
    <w:rsid w:val="00B2384A"/>
    <w:rsid w:val="00B30AA4"/>
    <w:rsid w:val="00B31FEA"/>
    <w:rsid w:val="00B34106"/>
    <w:rsid w:val="00B350E0"/>
    <w:rsid w:val="00B36D30"/>
    <w:rsid w:val="00B45D3C"/>
    <w:rsid w:val="00B46EB5"/>
    <w:rsid w:val="00B53694"/>
    <w:rsid w:val="00B55F05"/>
    <w:rsid w:val="00B60017"/>
    <w:rsid w:val="00B61310"/>
    <w:rsid w:val="00B64612"/>
    <w:rsid w:val="00B64A40"/>
    <w:rsid w:val="00B6699A"/>
    <w:rsid w:val="00B679AB"/>
    <w:rsid w:val="00B709D7"/>
    <w:rsid w:val="00B72D82"/>
    <w:rsid w:val="00B74526"/>
    <w:rsid w:val="00B75904"/>
    <w:rsid w:val="00B76BF3"/>
    <w:rsid w:val="00B76C30"/>
    <w:rsid w:val="00B81409"/>
    <w:rsid w:val="00B83743"/>
    <w:rsid w:val="00B8519A"/>
    <w:rsid w:val="00B906E0"/>
    <w:rsid w:val="00B917FD"/>
    <w:rsid w:val="00B95F0B"/>
    <w:rsid w:val="00B966E4"/>
    <w:rsid w:val="00B97027"/>
    <w:rsid w:val="00BA0D0A"/>
    <w:rsid w:val="00BA307E"/>
    <w:rsid w:val="00BA49A8"/>
    <w:rsid w:val="00BA4C1E"/>
    <w:rsid w:val="00BA7F96"/>
    <w:rsid w:val="00BB1E2D"/>
    <w:rsid w:val="00BB47C0"/>
    <w:rsid w:val="00BB5003"/>
    <w:rsid w:val="00BB5EFA"/>
    <w:rsid w:val="00BB7F8E"/>
    <w:rsid w:val="00BC3E04"/>
    <w:rsid w:val="00BC6FEF"/>
    <w:rsid w:val="00BD0DEC"/>
    <w:rsid w:val="00BD6927"/>
    <w:rsid w:val="00BE1D10"/>
    <w:rsid w:val="00BE29DF"/>
    <w:rsid w:val="00BF10D5"/>
    <w:rsid w:val="00BF2FBA"/>
    <w:rsid w:val="00C000F1"/>
    <w:rsid w:val="00C00C48"/>
    <w:rsid w:val="00C01302"/>
    <w:rsid w:val="00C06CF0"/>
    <w:rsid w:val="00C11722"/>
    <w:rsid w:val="00C126E1"/>
    <w:rsid w:val="00C20076"/>
    <w:rsid w:val="00C20BB2"/>
    <w:rsid w:val="00C21E52"/>
    <w:rsid w:val="00C220CC"/>
    <w:rsid w:val="00C23EFA"/>
    <w:rsid w:val="00C2597A"/>
    <w:rsid w:val="00C25F13"/>
    <w:rsid w:val="00C27EBE"/>
    <w:rsid w:val="00C31534"/>
    <w:rsid w:val="00C32586"/>
    <w:rsid w:val="00C34DCD"/>
    <w:rsid w:val="00C364A3"/>
    <w:rsid w:val="00C403E2"/>
    <w:rsid w:val="00C404E7"/>
    <w:rsid w:val="00C40AE4"/>
    <w:rsid w:val="00C5300F"/>
    <w:rsid w:val="00C60297"/>
    <w:rsid w:val="00C651E9"/>
    <w:rsid w:val="00C706EC"/>
    <w:rsid w:val="00C72470"/>
    <w:rsid w:val="00C77FAA"/>
    <w:rsid w:val="00C84024"/>
    <w:rsid w:val="00CA4B2B"/>
    <w:rsid w:val="00CA7A88"/>
    <w:rsid w:val="00CB0F8B"/>
    <w:rsid w:val="00CB2FE6"/>
    <w:rsid w:val="00CC0228"/>
    <w:rsid w:val="00CC20FF"/>
    <w:rsid w:val="00CC2821"/>
    <w:rsid w:val="00CC32AE"/>
    <w:rsid w:val="00CC5894"/>
    <w:rsid w:val="00CC5EDA"/>
    <w:rsid w:val="00CE0C7D"/>
    <w:rsid w:val="00CE217E"/>
    <w:rsid w:val="00CE340B"/>
    <w:rsid w:val="00CE4536"/>
    <w:rsid w:val="00CE630C"/>
    <w:rsid w:val="00CF0B42"/>
    <w:rsid w:val="00CF6AB6"/>
    <w:rsid w:val="00CF7415"/>
    <w:rsid w:val="00D001C4"/>
    <w:rsid w:val="00D00982"/>
    <w:rsid w:val="00D02B8E"/>
    <w:rsid w:val="00D11447"/>
    <w:rsid w:val="00D161C2"/>
    <w:rsid w:val="00D16664"/>
    <w:rsid w:val="00D2191B"/>
    <w:rsid w:val="00D24CEF"/>
    <w:rsid w:val="00D30842"/>
    <w:rsid w:val="00D33F83"/>
    <w:rsid w:val="00D53FAA"/>
    <w:rsid w:val="00D54766"/>
    <w:rsid w:val="00D56D57"/>
    <w:rsid w:val="00D73A6E"/>
    <w:rsid w:val="00D74583"/>
    <w:rsid w:val="00D75CAB"/>
    <w:rsid w:val="00D81126"/>
    <w:rsid w:val="00D824A6"/>
    <w:rsid w:val="00D90C13"/>
    <w:rsid w:val="00D95A36"/>
    <w:rsid w:val="00D964E0"/>
    <w:rsid w:val="00DA15A4"/>
    <w:rsid w:val="00DA2011"/>
    <w:rsid w:val="00DA6EBF"/>
    <w:rsid w:val="00DA7254"/>
    <w:rsid w:val="00DB2983"/>
    <w:rsid w:val="00DB5410"/>
    <w:rsid w:val="00DC1228"/>
    <w:rsid w:val="00DC1794"/>
    <w:rsid w:val="00DC4F7E"/>
    <w:rsid w:val="00DE106C"/>
    <w:rsid w:val="00DE460B"/>
    <w:rsid w:val="00DE4C49"/>
    <w:rsid w:val="00DF5300"/>
    <w:rsid w:val="00E07980"/>
    <w:rsid w:val="00E10D1F"/>
    <w:rsid w:val="00E13792"/>
    <w:rsid w:val="00E13FE0"/>
    <w:rsid w:val="00E14067"/>
    <w:rsid w:val="00E142E6"/>
    <w:rsid w:val="00E155F8"/>
    <w:rsid w:val="00E15604"/>
    <w:rsid w:val="00E23F7F"/>
    <w:rsid w:val="00E24905"/>
    <w:rsid w:val="00E24E4E"/>
    <w:rsid w:val="00E27640"/>
    <w:rsid w:val="00E306E7"/>
    <w:rsid w:val="00E32DEC"/>
    <w:rsid w:val="00E40C2E"/>
    <w:rsid w:val="00E447F3"/>
    <w:rsid w:val="00E50B28"/>
    <w:rsid w:val="00E52D5C"/>
    <w:rsid w:val="00E533C0"/>
    <w:rsid w:val="00E54C10"/>
    <w:rsid w:val="00E61A90"/>
    <w:rsid w:val="00E63707"/>
    <w:rsid w:val="00E66076"/>
    <w:rsid w:val="00E67703"/>
    <w:rsid w:val="00E70182"/>
    <w:rsid w:val="00E755EE"/>
    <w:rsid w:val="00E76FF7"/>
    <w:rsid w:val="00E81DB0"/>
    <w:rsid w:val="00E82F35"/>
    <w:rsid w:val="00E85DC1"/>
    <w:rsid w:val="00E90029"/>
    <w:rsid w:val="00E914D1"/>
    <w:rsid w:val="00EA09C1"/>
    <w:rsid w:val="00EA29AB"/>
    <w:rsid w:val="00EA481E"/>
    <w:rsid w:val="00EA4BAE"/>
    <w:rsid w:val="00EA7E11"/>
    <w:rsid w:val="00EB1FAF"/>
    <w:rsid w:val="00EB3FD0"/>
    <w:rsid w:val="00EB72DA"/>
    <w:rsid w:val="00EC0FE2"/>
    <w:rsid w:val="00EC31CC"/>
    <w:rsid w:val="00EC4394"/>
    <w:rsid w:val="00EC523B"/>
    <w:rsid w:val="00ED2B8F"/>
    <w:rsid w:val="00ED5F13"/>
    <w:rsid w:val="00ED6B29"/>
    <w:rsid w:val="00EE025C"/>
    <w:rsid w:val="00EE15C0"/>
    <w:rsid w:val="00EF5D20"/>
    <w:rsid w:val="00EF6900"/>
    <w:rsid w:val="00EF7512"/>
    <w:rsid w:val="00F003B4"/>
    <w:rsid w:val="00F0080B"/>
    <w:rsid w:val="00F07464"/>
    <w:rsid w:val="00F10C91"/>
    <w:rsid w:val="00F1528F"/>
    <w:rsid w:val="00F15436"/>
    <w:rsid w:val="00F1796B"/>
    <w:rsid w:val="00F21BF3"/>
    <w:rsid w:val="00F22653"/>
    <w:rsid w:val="00F239FF"/>
    <w:rsid w:val="00F23C2B"/>
    <w:rsid w:val="00F24815"/>
    <w:rsid w:val="00F32C63"/>
    <w:rsid w:val="00F32E06"/>
    <w:rsid w:val="00F33F9E"/>
    <w:rsid w:val="00F43CC2"/>
    <w:rsid w:val="00F43E6D"/>
    <w:rsid w:val="00F464C3"/>
    <w:rsid w:val="00F475C8"/>
    <w:rsid w:val="00F55CF9"/>
    <w:rsid w:val="00F660D4"/>
    <w:rsid w:val="00F713F5"/>
    <w:rsid w:val="00F8411D"/>
    <w:rsid w:val="00F84153"/>
    <w:rsid w:val="00F8746D"/>
    <w:rsid w:val="00F9110D"/>
    <w:rsid w:val="00F9123B"/>
    <w:rsid w:val="00FA0A46"/>
    <w:rsid w:val="00FB1FB8"/>
    <w:rsid w:val="00FB3A28"/>
    <w:rsid w:val="00FB43CE"/>
    <w:rsid w:val="00FB4DD4"/>
    <w:rsid w:val="00FB5E54"/>
    <w:rsid w:val="00FB7BC0"/>
    <w:rsid w:val="00FC056B"/>
    <w:rsid w:val="00FC1CDB"/>
    <w:rsid w:val="00FC2CC6"/>
    <w:rsid w:val="00FC4C06"/>
    <w:rsid w:val="00FC680B"/>
    <w:rsid w:val="00FD07F8"/>
    <w:rsid w:val="00FD27AD"/>
    <w:rsid w:val="00FD3087"/>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2E6"/>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4202">
      <w:bodyDiv w:val="1"/>
      <w:marLeft w:val="0"/>
      <w:marRight w:val="0"/>
      <w:marTop w:val="0"/>
      <w:marBottom w:val="0"/>
      <w:divBdr>
        <w:top w:val="none" w:sz="0" w:space="0" w:color="auto"/>
        <w:left w:val="none" w:sz="0" w:space="0" w:color="auto"/>
        <w:bottom w:val="none" w:sz="0" w:space="0" w:color="auto"/>
        <w:right w:val="none" w:sz="0" w:space="0" w:color="auto"/>
      </w:divBdr>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570771400">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4457</Words>
  <Characters>24515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2021-07-05T15:47:00Z</cp:lastPrinted>
  <dcterms:created xsi:type="dcterms:W3CDTF">2021-07-05T19:08:00Z</dcterms:created>
  <dcterms:modified xsi:type="dcterms:W3CDTF">2021-07-05T19:08:00Z</dcterms:modified>
</cp:coreProperties>
</file>